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outlineLvl w:val="1"/>
        <w:rPr>
          <w:rFonts w:ascii="宋体" w:hAnsi="宋体" w:eastAsia="方正小标宋简体"/>
          <w:b/>
          <w:sz w:val="52"/>
          <w:szCs w:val="52"/>
        </w:rPr>
      </w:pPr>
    </w:p>
    <w:p>
      <w:pPr>
        <w:spacing w:line="360" w:lineRule="auto"/>
        <w:jc w:val="center"/>
        <w:outlineLvl w:val="1"/>
        <w:rPr>
          <w:rFonts w:ascii="宋体" w:hAnsi="宋体" w:eastAsia="方正小标宋简体"/>
          <w:b/>
          <w:bCs/>
          <w:sz w:val="52"/>
          <w:szCs w:val="52"/>
        </w:rPr>
      </w:pPr>
      <w:r>
        <w:rPr>
          <w:rFonts w:hint="eastAsia" w:ascii="宋体" w:hAnsi="宋体" w:eastAsia="方正小标宋简体"/>
          <w:b/>
          <w:bCs/>
          <w:sz w:val="52"/>
          <w:szCs w:val="52"/>
        </w:rPr>
        <w:t>山东省医疗机构药品集中采购</w:t>
      </w:r>
    </w:p>
    <w:p>
      <w:pPr>
        <w:spacing w:line="360" w:lineRule="auto"/>
        <w:jc w:val="center"/>
        <w:rPr>
          <w:rFonts w:ascii="宋体" w:hAnsi="宋体" w:eastAsia="楷体"/>
          <w:bCs/>
          <w:sz w:val="44"/>
          <w:szCs w:val="44"/>
        </w:rPr>
      </w:pPr>
      <w:r>
        <w:rPr>
          <w:rFonts w:hint="eastAsia" w:ascii="楷体" w:hAnsi="楷体" w:eastAsia="楷体" w:cs="楷体"/>
          <w:bCs/>
          <w:sz w:val="44"/>
          <w:szCs w:val="44"/>
        </w:rPr>
        <w:t>（</w:t>
      </w:r>
      <w:r>
        <w:rPr>
          <w:rFonts w:ascii="楷体" w:hAnsi="楷体" w:eastAsia="楷体" w:cs="楷体"/>
          <w:bCs/>
          <w:sz w:val="44"/>
          <w:szCs w:val="44"/>
        </w:rPr>
        <w:t>SDSYPJZCG-2015</w:t>
      </w:r>
      <w:r>
        <w:rPr>
          <w:rFonts w:hint="eastAsia" w:ascii="楷体" w:hAnsi="楷体" w:eastAsia="楷体" w:cs="楷体"/>
          <w:bCs/>
          <w:sz w:val="44"/>
          <w:szCs w:val="44"/>
        </w:rPr>
        <w:t>）</w:t>
      </w:r>
    </w:p>
    <w:p>
      <w:pPr>
        <w:spacing w:line="360" w:lineRule="auto"/>
        <w:jc w:val="center"/>
        <w:outlineLvl w:val="1"/>
        <w:rPr>
          <w:rFonts w:ascii="宋体" w:hAnsi="宋体" w:eastAsia="方正小标宋简体"/>
          <w:b/>
          <w:sz w:val="84"/>
          <w:szCs w:val="84"/>
        </w:rPr>
      </w:pPr>
    </w:p>
    <w:p>
      <w:pPr>
        <w:snapToGrid w:val="0"/>
        <w:spacing w:line="300" w:lineRule="auto"/>
        <w:jc w:val="center"/>
        <w:outlineLvl w:val="1"/>
        <w:rPr>
          <w:rFonts w:ascii="宋体" w:hAnsi="宋体" w:eastAsia="方正小标宋简体"/>
          <w:b/>
          <w:sz w:val="84"/>
          <w:szCs w:val="84"/>
        </w:rPr>
      </w:pPr>
      <w:r>
        <w:rPr>
          <w:rFonts w:hint="eastAsia" w:ascii="宋体" w:hAnsi="宋体" w:eastAsia="方正小标宋简体"/>
          <w:b/>
          <w:sz w:val="84"/>
          <w:szCs w:val="84"/>
        </w:rPr>
        <w:t>采</w:t>
      </w:r>
    </w:p>
    <w:p>
      <w:pPr>
        <w:snapToGrid w:val="0"/>
        <w:spacing w:line="300" w:lineRule="auto"/>
        <w:jc w:val="center"/>
        <w:outlineLvl w:val="1"/>
        <w:rPr>
          <w:rFonts w:ascii="宋体" w:hAnsi="宋体" w:eastAsia="方正小标宋简体"/>
          <w:b/>
          <w:sz w:val="84"/>
          <w:szCs w:val="84"/>
        </w:rPr>
      </w:pPr>
      <w:r>
        <w:rPr>
          <w:rFonts w:hint="eastAsia" w:ascii="宋体" w:hAnsi="宋体" w:eastAsia="方正小标宋简体"/>
          <w:b/>
          <w:sz w:val="84"/>
          <w:szCs w:val="84"/>
        </w:rPr>
        <w:t>购</w:t>
      </w:r>
    </w:p>
    <w:p>
      <w:pPr>
        <w:snapToGrid w:val="0"/>
        <w:spacing w:line="300" w:lineRule="auto"/>
        <w:jc w:val="center"/>
        <w:outlineLvl w:val="1"/>
        <w:rPr>
          <w:rFonts w:ascii="宋体" w:hAnsi="宋体" w:eastAsia="方正小标宋简体"/>
          <w:b/>
          <w:sz w:val="84"/>
          <w:szCs w:val="84"/>
        </w:rPr>
      </w:pPr>
      <w:r>
        <w:rPr>
          <w:rFonts w:hint="eastAsia" w:ascii="宋体" w:hAnsi="宋体" w:eastAsia="方正小标宋简体"/>
          <w:b/>
          <w:sz w:val="84"/>
          <w:szCs w:val="84"/>
        </w:rPr>
        <w:t>文</w:t>
      </w:r>
    </w:p>
    <w:p>
      <w:pPr>
        <w:snapToGrid w:val="0"/>
        <w:spacing w:line="300" w:lineRule="auto"/>
        <w:jc w:val="center"/>
        <w:outlineLvl w:val="1"/>
        <w:rPr>
          <w:rFonts w:ascii="宋体" w:hAnsi="宋体" w:eastAsia="方正小标宋简体"/>
          <w:b/>
          <w:sz w:val="84"/>
          <w:szCs w:val="84"/>
        </w:rPr>
      </w:pPr>
      <w:r>
        <w:rPr>
          <w:rFonts w:hint="eastAsia" w:ascii="宋体" w:hAnsi="宋体" w:eastAsia="方正小标宋简体"/>
          <w:b/>
          <w:sz w:val="84"/>
          <w:szCs w:val="84"/>
        </w:rPr>
        <w:t>件</w:t>
      </w:r>
    </w:p>
    <w:p>
      <w:pPr>
        <w:snapToGrid w:val="0"/>
        <w:spacing w:line="300" w:lineRule="auto"/>
        <w:jc w:val="center"/>
        <w:outlineLvl w:val="1"/>
        <w:rPr>
          <w:rFonts w:ascii="宋体" w:hAnsi="宋体" w:eastAsia="方正小标宋简体"/>
          <w:b/>
          <w:szCs w:val="32"/>
        </w:rPr>
      </w:pPr>
      <w:r>
        <w:rPr>
          <w:rFonts w:hint="eastAsia" w:ascii="宋体" w:hAnsi="宋体" w:eastAsia="方正小标宋简体"/>
          <w:b/>
          <w:szCs w:val="32"/>
        </w:rPr>
        <w:t>（征求意见稿）</w:t>
      </w:r>
    </w:p>
    <w:p>
      <w:pPr>
        <w:spacing w:line="360" w:lineRule="auto"/>
        <w:jc w:val="center"/>
        <w:outlineLvl w:val="1"/>
        <w:rPr>
          <w:rFonts w:ascii="宋体" w:hAnsi="宋体" w:eastAsia="楷体"/>
          <w:b/>
          <w:sz w:val="36"/>
          <w:szCs w:val="36"/>
        </w:rPr>
      </w:pPr>
      <w:r>
        <w:rPr>
          <w:rFonts w:hint="eastAsia" w:ascii="宋体" w:hAnsi="宋体" w:eastAsia="楷体"/>
          <w:b/>
          <w:sz w:val="36"/>
          <w:szCs w:val="36"/>
        </w:rPr>
        <w:t>山东省药品集中采购服务中心</w:t>
      </w:r>
    </w:p>
    <w:p>
      <w:pPr>
        <w:spacing w:line="360" w:lineRule="auto"/>
        <w:jc w:val="center"/>
        <w:outlineLvl w:val="1"/>
        <w:rPr>
          <w:rFonts w:ascii="宋体" w:hAnsi="宋体" w:eastAsia="方正小标宋简体"/>
          <w:b/>
          <w:sz w:val="36"/>
          <w:szCs w:val="36"/>
        </w:rPr>
      </w:pPr>
      <w:r>
        <w:rPr>
          <w:rFonts w:ascii="宋体" w:hAnsi="宋体" w:eastAsia="楷体"/>
          <w:b/>
          <w:sz w:val="36"/>
          <w:szCs w:val="36"/>
        </w:rPr>
        <w:t>2015</w:t>
      </w:r>
      <w:r>
        <w:rPr>
          <w:rFonts w:hint="eastAsia" w:ascii="宋体" w:hAnsi="宋体" w:eastAsia="楷体"/>
          <w:b/>
          <w:sz w:val="36"/>
          <w:szCs w:val="36"/>
        </w:rPr>
        <w:t>年</w:t>
      </w:r>
      <w:r>
        <w:rPr>
          <w:rFonts w:ascii="宋体" w:hAnsi="宋体" w:eastAsia="楷体"/>
          <w:b/>
          <w:sz w:val="36"/>
          <w:szCs w:val="36"/>
        </w:rPr>
        <w:t>11</w:t>
      </w:r>
      <w:r>
        <w:rPr>
          <w:rFonts w:hint="eastAsia" w:ascii="宋体" w:hAnsi="宋体" w:eastAsia="楷体"/>
          <w:b/>
          <w:sz w:val="36"/>
          <w:szCs w:val="36"/>
        </w:rPr>
        <w:t>月</w:t>
      </w:r>
      <w:r>
        <w:rPr>
          <w:rFonts w:ascii="宋体" w:hAnsi="宋体" w:eastAsia="方正小标宋简体"/>
          <w:b/>
          <w:sz w:val="36"/>
          <w:szCs w:val="36"/>
        </w:rPr>
        <w:br w:type="page"/>
      </w:r>
    </w:p>
    <w:p>
      <w:pPr>
        <w:spacing w:line="360" w:lineRule="auto"/>
        <w:jc w:val="center"/>
        <w:outlineLvl w:val="1"/>
        <w:rPr>
          <w:rFonts w:ascii="宋体" w:hAnsi="宋体" w:eastAsia="方正小标宋简体"/>
          <w:b/>
          <w:sz w:val="44"/>
          <w:szCs w:val="44"/>
        </w:rPr>
      </w:pPr>
      <w:r>
        <w:rPr>
          <w:rFonts w:hint="eastAsia" w:ascii="宋体" w:hAnsi="宋体" w:eastAsia="方正小标宋简体"/>
          <w:b/>
          <w:sz w:val="44"/>
          <w:szCs w:val="44"/>
        </w:rPr>
        <w:t>目</w:t>
      </w:r>
      <w:r>
        <w:rPr>
          <w:rFonts w:ascii="宋体" w:hAnsi="宋体" w:eastAsia="方正小标宋简体"/>
          <w:b/>
          <w:sz w:val="44"/>
          <w:szCs w:val="44"/>
        </w:rPr>
        <w:t xml:space="preserve">   </w:t>
      </w:r>
      <w:r>
        <w:rPr>
          <w:rFonts w:hint="eastAsia" w:ascii="宋体" w:hAnsi="宋体" w:eastAsia="方正小标宋简体"/>
          <w:b/>
          <w:sz w:val="44"/>
          <w:szCs w:val="44"/>
        </w:rPr>
        <w:t>录</w:t>
      </w:r>
    </w:p>
    <w:p>
      <w:pPr>
        <w:spacing w:line="360" w:lineRule="auto"/>
        <w:outlineLvl w:val="1"/>
        <w:rPr>
          <w:rFonts w:ascii="宋体" w:hAnsi="宋体" w:eastAsia="方正小标宋简体"/>
          <w:b/>
          <w:sz w:val="44"/>
          <w:szCs w:val="44"/>
        </w:rPr>
      </w:pPr>
    </w:p>
    <w:p>
      <w:pPr>
        <w:jc w:val="distribute"/>
        <w:rPr>
          <w:rFonts w:ascii="宋体" w:eastAsia="宋体"/>
          <w:szCs w:val="32"/>
        </w:rPr>
      </w:pPr>
      <w:r>
        <w:rPr>
          <w:rFonts w:hint="eastAsia" w:ascii="宋体" w:hAnsi="宋体"/>
          <w:szCs w:val="32"/>
        </w:rPr>
        <w:t>第一部分</w:t>
      </w:r>
      <w:r>
        <w:rPr>
          <w:rFonts w:ascii="宋体" w:hAnsi="宋体"/>
          <w:szCs w:val="32"/>
        </w:rPr>
        <w:t xml:space="preserve">  </w:t>
      </w:r>
      <w:r>
        <w:rPr>
          <w:rFonts w:hint="eastAsia" w:ascii="宋体" w:hAnsi="宋体"/>
          <w:szCs w:val="32"/>
        </w:rPr>
        <w:t>总</w:t>
      </w:r>
      <w:r>
        <w:rPr>
          <w:rFonts w:ascii="宋体" w:hAnsi="宋体"/>
          <w:szCs w:val="32"/>
        </w:rPr>
        <w:t xml:space="preserve">   </w:t>
      </w:r>
      <w:r>
        <w:rPr>
          <w:rFonts w:hint="eastAsia" w:ascii="宋体" w:hAnsi="宋体"/>
          <w:szCs w:val="32"/>
        </w:rPr>
        <w:t>则</w:t>
      </w:r>
      <w:r>
        <w:rPr>
          <w:rFonts w:hint="eastAsia" w:ascii="宋体" w:hAnsi="宋体" w:eastAsia="宋体"/>
          <w:szCs w:val="32"/>
        </w:rPr>
        <w:t>………………………………………………</w:t>
      </w:r>
      <w:r>
        <w:rPr>
          <w:rFonts w:ascii="宋体" w:hAnsi="宋体" w:eastAsia="宋体"/>
          <w:szCs w:val="32"/>
        </w:rPr>
        <w:t>1</w:t>
      </w:r>
    </w:p>
    <w:p>
      <w:pPr>
        <w:jc w:val="distribute"/>
        <w:rPr>
          <w:rFonts w:ascii="宋体" w:hAnsi="宋体" w:eastAsia="宋体"/>
          <w:szCs w:val="32"/>
        </w:rPr>
      </w:pPr>
      <w:r>
        <w:rPr>
          <w:rFonts w:hint="eastAsia" w:ascii="宋体" w:hAnsi="宋体"/>
          <w:szCs w:val="32"/>
        </w:rPr>
        <w:t>第二部分</w:t>
      </w:r>
      <w:r>
        <w:rPr>
          <w:rFonts w:ascii="宋体" w:hAnsi="宋体"/>
          <w:szCs w:val="32"/>
        </w:rPr>
        <w:t xml:space="preserve">  </w:t>
      </w:r>
      <w:r>
        <w:rPr>
          <w:rFonts w:hint="eastAsia" w:ascii="宋体" w:hAnsi="宋体"/>
          <w:szCs w:val="32"/>
        </w:rPr>
        <w:t>采购目录和方式</w:t>
      </w:r>
      <w:r>
        <w:rPr>
          <w:rFonts w:hint="eastAsia" w:ascii="宋体" w:hAnsi="宋体" w:eastAsia="宋体"/>
          <w:szCs w:val="32"/>
        </w:rPr>
        <w:t>……………………………………</w:t>
      </w:r>
      <w:r>
        <w:rPr>
          <w:rFonts w:ascii="宋体" w:hAnsi="宋体" w:eastAsia="宋体"/>
          <w:szCs w:val="32"/>
        </w:rPr>
        <w:t xml:space="preserve"> 3</w:t>
      </w:r>
    </w:p>
    <w:p>
      <w:pPr>
        <w:jc w:val="distribute"/>
        <w:rPr>
          <w:rFonts w:ascii="宋体" w:hAnsi="宋体" w:eastAsia="宋体"/>
          <w:szCs w:val="32"/>
        </w:rPr>
      </w:pPr>
      <w:r>
        <w:rPr>
          <w:rFonts w:hint="eastAsia" w:ascii="宋体" w:hAnsi="宋体"/>
          <w:szCs w:val="32"/>
        </w:rPr>
        <w:t>第三部分</w:t>
      </w:r>
      <w:r>
        <w:rPr>
          <w:rFonts w:ascii="宋体" w:hAnsi="宋体"/>
          <w:szCs w:val="32"/>
        </w:rPr>
        <w:t xml:space="preserve">  </w:t>
      </w:r>
      <w:r>
        <w:rPr>
          <w:rFonts w:hint="eastAsia" w:ascii="宋体" w:hAnsi="宋体"/>
          <w:szCs w:val="32"/>
        </w:rPr>
        <w:t>资质证明文件申报和审核</w:t>
      </w:r>
      <w:r>
        <w:rPr>
          <w:rFonts w:hint="eastAsia" w:ascii="宋体" w:hAnsi="宋体" w:eastAsia="宋体"/>
          <w:szCs w:val="32"/>
        </w:rPr>
        <w:t>…………………………</w:t>
      </w:r>
      <w:r>
        <w:rPr>
          <w:rFonts w:ascii="宋体" w:hAnsi="宋体" w:eastAsia="宋体"/>
          <w:szCs w:val="32"/>
        </w:rPr>
        <w:t xml:space="preserve"> 5</w:t>
      </w:r>
    </w:p>
    <w:p>
      <w:pPr>
        <w:jc w:val="distribute"/>
        <w:rPr>
          <w:rFonts w:ascii="宋体" w:hAnsi="宋体" w:eastAsia="宋体"/>
          <w:szCs w:val="32"/>
        </w:rPr>
      </w:pPr>
      <w:r>
        <w:rPr>
          <w:rFonts w:hint="eastAsia" w:ascii="宋体" w:hAnsi="宋体"/>
          <w:szCs w:val="32"/>
        </w:rPr>
        <w:t>第四部分</w:t>
      </w:r>
      <w:r>
        <w:rPr>
          <w:rFonts w:ascii="宋体" w:hAnsi="宋体"/>
          <w:szCs w:val="32"/>
        </w:rPr>
        <w:t xml:space="preserve">  </w:t>
      </w:r>
      <w:r>
        <w:rPr>
          <w:rFonts w:hint="eastAsia" w:ascii="宋体" w:hAnsi="宋体"/>
          <w:szCs w:val="32"/>
        </w:rPr>
        <w:t>报价和解密</w:t>
      </w:r>
      <w:r>
        <w:rPr>
          <w:rFonts w:hint="eastAsia" w:ascii="宋体" w:hAnsi="宋体" w:eastAsia="宋体"/>
          <w:szCs w:val="32"/>
        </w:rPr>
        <w:t>…………………………………………</w:t>
      </w:r>
      <w:r>
        <w:rPr>
          <w:rFonts w:ascii="宋体" w:hAnsi="宋体" w:eastAsia="宋体"/>
          <w:szCs w:val="32"/>
        </w:rPr>
        <w:t xml:space="preserve"> 9</w:t>
      </w:r>
    </w:p>
    <w:p>
      <w:pPr>
        <w:jc w:val="distribute"/>
        <w:rPr>
          <w:rFonts w:ascii="宋体" w:hAnsi="宋体" w:eastAsia="宋体"/>
          <w:szCs w:val="32"/>
        </w:rPr>
      </w:pPr>
      <w:r>
        <w:rPr>
          <w:rFonts w:hint="eastAsia" w:ascii="宋体" w:hAnsi="宋体"/>
          <w:szCs w:val="32"/>
        </w:rPr>
        <w:t>第五部分</w:t>
      </w:r>
      <w:r>
        <w:rPr>
          <w:rFonts w:ascii="宋体" w:hAnsi="宋体"/>
          <w:szCs w:val="32"/>
        </w:rPr>
        <w:t xml:space="preserve">  </w:t>
      </w:r>
      <w:r>
        <w:rPr>
          <w:rFonts w:hint="eastAsia" w:ascii="宋体" w:hAnsi="宋体"/>
          <w:szCs w:val="32"/>
        </w:rPr>
        <w:t>公开招标采购</w:t>
      </w:r>
      <w:r>
        <w:rPr>
          <w:rFonts w:hint="eastAsia" w:ascii="宋体" w:hAnsi="宋体" w:eastAsia="宋体"/>
          <w:szCs w:val="32"/>
        </w:rPr>
        <w:t>………………………………………</w:t>
      </w:r>
      <w:r>
        <w:rPr>
          <w:rFonts w:ascii="宋体" w:hAnsi="宋体" w:eastAsia="宋体"/>
          <w:szCs w:val="32"/>
        </w:rPr>
        <w:t>10</w:t>
      </w:r>
    </w:p>
    <w:p>
      <w:pPr>
        <w:jc w:val="distribute"/>
        <w:rPr>
          <w:rFonts w:ascii="宋体" w:hAnsi="宋体" w:eastAsia="宋体"/>
          <w:szCs w:val="32"/>
        </w:rPr>
      </w:pPr>
      <w:r>
        <w:rPr>
          <w:rFonts w:hint="eastAsia" w:ascii="宋体" w:hAnsi="宋体"/>
          <w:szCs w:val="32"/>
        </w:rPr>
        <w:t>第六部分</w:t>
      </w:r>
      <w:r>
        <w:rPr>
          <w:rFonts w:ascii="宋体" w:hAnsi="宋体"/>
          <w:szCs w:val="32"/>
        </w:rPr>
        <w:t xml:space="preserve">  </w:t>
      </w:r>
      <w:r>
        <w:rPr>
          <w:rFonts w:hint="eastAsia" w:ascii="宋体" w:hAnsi="宋体"/>
          <w:szCs w:val="32"/>
        </w:rPr>
        <w:t>集中挂网采购</w:t>
      </w:r>
      <w:r>
        <w:rPr>
          <w:rFonts w:hint="eastAsia" w:ascii="宋体" w:hAnsi="宋体" w:eastAsia="宋体"/>
          <w:szCs w:val="32"/>
        </w:rPr>
        <w:t>………………………………………</w:t>
      </w:r>
      <w:r>
        <w:rPr>
          <w:rFonts w:ascii="宋体" w:hAnsi="宋体" w:eastAsia="宋体"/>
          <w:szCs w:val="32"/>
        </w:rPr>
        <w:t>13</w:t>
      </w:r>
    </w:p>
    <w:p>
      <w:pPr>
        <w:jc w:val="distribute"/>
        <w:rPr>
          <w:rFonts w:ascii="宋体" w:hAnsi="宋体" w:eastAsia="宋体"/>
          <w:szCs w:val="32"/>
        </w:rPr>
      </w:pPr>
      <w:r>
        <w:rPr>
          <w:rFonts w:hint="eastAsia" w:ascii="宋体" w:hAnsi="宋体"/>
          <w:szCs w:val="32"/>
        </w:rPr>
        <w:t>第七部分</w:t>
      </w:r>
      <w:r>
        <w:rPr>
          <w:rFonts w:ascii="宋体" w:hAnsi="宋体"/>
          <w:szCs w:val="32"/>
        </w:rPr>
        <w:t xml:space="preserve">  </w:t>
      </w:r>
      <w:r>
        <w:rPr>
          <w:rFonts w:hint="eastAsia" w:ascii="宋体" w:hAnsi="宋体"/>
          <w:szCs w:val="32"/>
        </w:rPr>
        <w:t>公立医院改革试点城市药品采购</w:t>
      </w:r>
      <w:r>
        <w:rPr>
          <w:rFonts w:hint="eastAsia" w:ascii="宋体" w:hAnsi="宋体" w:eastAsia="宋体"/>
          <w:szCs w:val="32"/>
        </w:rPr>
        <w:t>…………………</w:t>
      </w:r>
      <w:r>
        <w:rPr>
          <w:rFonts w:ascii="宋体" w:hAnsi="宋体" w:eastAsia="宋体"/>
          <w:szCs w:val="32"/>
        </w:rPr>
        <w:t>14</w:t>
      </w:r>
    </w:p>
    <w:p>
      <w:pPr>
        <w:jc w:val="distribute"/>
        <w:rPr>
          <w:rFonts w:ascii="宋体" w:hAnsi="宋体" w:eastAsia="宋体"/>
          <w:szCs w:val="32"/>
        </w:rPr>
      </w:pPr>
      <w:r>
        <w:rPr>
          <w:rFonts w:hint="eastAsia" w:ascii="宋体" w:hAnsi="宋体"/>
          <w:szCs w:val="32"/>
        </w:rPr>
        <w:t>第八部分</w:t>
      </w:r>
      <w:r>
        <w:rPr>
          <w:rFonts w:ascii="宋体" w:hAnsi="宋体"/>
          <w:szCs w:val="32"/>
        </w:rPr>
        <w:t xml:space="preserve">  </w:t>
      </w:r>
      <w:r>
        <w:rPr>
          <w:rFonts w:hint="eastAsia" w:ascii="宋体" w:hAnsi="宋体"/>
          <w:szCs w:val="32"/>
        </w:rPr>
        <w:t>公示和挂网</w:t>
      </w:r>
      <w:r>
        <w:rPr>
          <w:rFonts w:hint="eastAsia" w:ascii="宋体" w:hAnsi="宋体" w:eastAsia="宋体"/>
          <w:szCs w:val="32"/>
        </w:rPr>
        <w:t>…………………………………………</w:t>
      </w:r>
      <w:r>
        <w:rPr>
          <w:rFonts w:ascii="宋体" w:hAnsi="宋体" w:eastAsia="宋体"/>
          <w:szCs w:val="32"/>
        </w:rPr>
        <w:t>15</w:t>
      </w:r>
    </w:p>
    <w:p>
      <w:pPr>
        <w:jc w:val="distribute"/>
        <w:rPr>
          <w:rFonts w:ascii="宋体" w:hAnsi="宋体" w:eastAsia="宋体"/>
          <w:szCs w:val="32"/>
        </w:rPr>
      </w:pPr>
      <w:r>
        <w:rPr>
          <w:rFonts w:hint="eastAsia" w:ascii="宋体" w:hAnsi="宋体"/>
          <w:szCs w:val="32"/>
        </w:rPr>
        <w:t>第九部分</w:t>
      </w:r>
      <w:r>
        <w:rPr>
          <w:rFonts w:ascii="宋体" w:hAnsi="宋体"/>
          <w:szCs w:val="32"/>
        </w:rPr>
        <w:t xml:space="preserve">  </w:t>
      </w:r>
      <w:r>
        <w:rPr>
          <w:rFonts w:hint="eastAsia" w:ascii="宋体" w:hAnsi="宋体"/>
          <w:szCs w:val="32"/>
        </w:rPr>
        <w:t>采购与配送</w:t>
      </w:r>
      <w:r>
        <w:rPr>
          <w:rFonts w:hint="eastAsia" w:ascii="宋体" w:hAnsi="宋体" w:eastAsia="宋体"/>
          <w:szCs w:val="32"/>
        </w:rPr>
        <w:t>…………………………………………</w:t>
      </w:r>
      <w:r>
        <w:rPr>
          <w:rFonts w:ascii="宋体" w:hAnsi="宋体" w:eastAsia="宋体"/>
          <w:szCs w:val="32"/>
        </w:rPr>
        <w:t>15</w:t>
      </w:r>
    </w:p>
    <w:p>
      <w:pPr>
        <w:jc w:val="distribute"/>
        <w:rPr>
          <w:rFonts w:ascii="宋体" w:hAnsi="宋体" w:eastAsia="宋体"/>
          <w:szCs w:val="32"/>
        </w:rPr>
      </w:pPr>
      <w:r>
        <w:rPr>
          <w:rFonts w:hint="eastAsia" w:ascii="宋体" w:hAnsi="宋体"/>
          <w:szCs w:val="32"/>
        </w:rPr>
        <w:t>第十部分</w:t>
      </w:r>
      <w:r>
        <w:rPr>
          <w:rFonts w:ascii="宋体" w:hAnsi="宋体"/>
          <w:szCs w:val="32"/>
        </w:rPr>
        <w:t xml:space="preserve">  </w:t>
      </w:r>
      <w:r>
        <w:rPr>
          <w:rFonts w:hint="eastAsia" w:ascii="宋体" w:hAnsi="宋体"/>
          <w:szCs w:val="32"/>
        </w:rPr>
        <w:t>货款结算</w:t>
      </w:r>
      <w:r>
        <w:rPr>
          <w:rFonts w:hint="eastAsia" w:ascii="宋体" w:hAnsi="宋体" w:eastAsia="宋体"/>
          <w:szCs w:val="32"/>
        </w:rPr>
        <w:t>…………………………………………</w:t>
      </w:r>
      <w:r>
        <w:rPr>
          <w:rFonts w:ascii="宋体" w:hAnsi="宋体" w:eastAsia="宋体"/>
          <w:szCs w:val="32"/>
        </w:rPr>
        <w:t>18</w:t>
      </w:r>
    </w:p>
    <w:p>
      <w:pPr>
        <w:jc w:val="distribute"/>
        <w:rPr>
          <w:rFonts w:ascii="宋体" w:hAnsi="宋体" w:eastAsia="宋体"/>
          <w:szCs w:val="32"/>
        </w:rPr>
      </w:pPr>
      <w:r>
        <w:rPr>
          <w:rFonts w:hint="eastAsia" w:ascii="宋体" w:hAnsi="宋体"/>
          <w:szCs w:val="32"/>
        </w:rPr>
        <w:t>第十一部分</w:t>
      </w:r>
      <w:r>
        <w:rPr>
          <w:rFonts w:ascii="宋体" w:hAnsi="宋体"/>
          <w:szCs w:val="32"/>
        </w:rPr>
        <w:t xml:space="preserve">  </w:t>
      </w:r>
      <w:r>
        <w:rPr>
          <w:rFonts w:hint="eastAsia" w:ascii="宋体" w:hAnsi="宋体"/>
          <w:szCs w:val="32"/>
        </w:rPr>
        <w:t>监督管理</w:t>
      </w:r>
      <w:r>
        <w:rPr>
          <w:rFonts w:hint="eastAsia" w:ascii="宋体" w:hAnsi="宋体" w:eastAsia="宋体"/>
          <w:szCs w:val="32"/>
        </w:rPr>
        <w:t>…………………………………………</w:t>
      </w:r>
      <w:r>
        <w:rPr>
          <w:rFonts w:ascii="宋体" w:hAnsi="宋体" w:eastAsia="宋体"/>
          <w:szCs w:val="32"/>
        </w:rPr>
        <w:t>19</w:t>
      </w:r>
    </w:p>
    <w:p>
      <w:pPr>
        <w:jc w:val="distribute"/>
        <w:rPr>
          <w:rFonts w:ascii="宋体" w:hAnsi="宋体" w:eastAsia="宋体"/>
          <w:szCs w:val="32"/>
        </w:rPr>
      </w:pPr>
      <w:r>
        <w:rPr>
          <w:rFonts w:hint="eastAsia" w:ascii="宋体" w:hAnsi="宋体"/>
          <w:szCs w:val="32"/>
        </w:rPr>
        <w:t>第十二部分</w:t>
      </w:r>
      <w:r>
        <w:rPr>
          <w:rFonts w:ascii="宋体" w:hAnsi="宋体"/>
          <w:szCs w:val="32"/>
        </w:rPr>
        <w:t xml:space="preserve">  </w:t>
      </w:r>
      <w:r>
        <w:rPr>
          <w:rFonts w:hint="eastAsia" w:ascii="宋体" w:hAnsi="宋体"/>
          <w:szCs w:val="32"/>
        </w:rPr>
        <w:t>附</w:t>
      </w:r>
      <w:r>
        <w:rPr>
          <w:rFonts w:ascii="宋体" w:hAnsi="宋体"/>
          <w:szCs w:val="32"/>
        </w:rPr>
        <w:t xml:space="preserve">  </w:t>
      </w:r>
      <w:r>
        <w:rPr>
          <w:rFonts w:hint="eastAsia" w:ascii="宋体" w:hAnsi="宋体"/>
          <w:szCs w:val="32"/>
        </w:rPr>
        <w:t>则</w:t>
      </w:r>
      <w:r>
        <w:rPr>
          <w:rFonts w:hint="eastAsia" w:ascii="宋体" w:hAnsi="宋体" w:eastAsia="宋体"/>
          <w:szCs w:val="32"/>
        </w:rPr>
        <w:t>……………………………………………</w:t>
      </w:r>
      <w:r>
        <w:rPr>
          <w:rFonts w:ascii="宋体" w:hAnsi="宋体" w:eastAsia="宋体"/>
          <w:szCs w:val="32"/>
        </w:rPr>
        <w:t>22</w:t>
      </w:r>
    </w:p>
    <w:p>
      <w:pPr>
        <w:jc w:val="distribute"/>
        <w:rPr>
          <w:rFonts w:ascii="宋体" w:eastAsia="宋体"/>
          <w:szCs w:val="32"/>
        </w:rPr>
        <w:sectPr>
          <w:headerReference r:id="rId3" w:type="default"/>
          <w:pgSz w:w="11906" w:h="16838"/>
          <w:pgMar w:top="2098" w:right="1588" w:bottom="1588" w:left="1588" w:header="851" w:footer="992" w:gutter="0"/>
          <w:cols w:space="720" w:num="1"/>
          <w:docGrid w:type="lines" w:linePitch="312" w:charSpace="0"/>
        </w:sectPr>
      </w:pPr>
    </w:p>
    <w:p>
      <w:pPr>
        <w:spacing w:afterLines="50"/>
        <w:jc w:val="center"/>
        <w:rPr>
          <w:rFonts w:ascii="宋体" w:hAnsi="宋体" w:eastAsia="黑体"/>
          <w:sz w:val="36"/>
          <w:szCs w:val="36"/>
        </w:rPr>
      </w:pPr>
      <w:r>
        <w:rPr>
          <w:rFonts w:hint="eastAsia" w:ascii="宋体" w:hAnsi="宋体" w:eastAsia="黑体"/>
          <w:sz w:val="36"/>
          <w:szCs w:val="36"/>
        </w:rPr>
        <w:t>第一部分</w:t>
      </w:r>
      <w:r>
        <w:rPr>
          <w:rFonts w:ascii="宋体" w:hAnsi="宋体" w:eastAsia="黑体"/>
          <w:sz w:val="36"/>
          <w:szCs w:val="36"/>
        </w:rPr>
        <w:t xml:space="preserve">  </w:t>
      </w:r>
      <w:r>
        <w:rPr>
          <w:rFonts w:hint="eastAsia" w:ascii="宋体" w:hAnsi="宋体" w:eastAsia="黑体"/>
          <w:sz w:val="36"/>
          <w:szCs w:val="36"/>
        </w:rPr>
        <w:t>总则</w:t>
      </w:r>
    </w:p>
    <w:p>
      <w:pPr>
        <w:ind w:firstLine="31680" w:firstLineChars="200"/>
        <w:rPr>
          <w:rFonts w:ascii="宋体" w:hAnsi="宋体" w:eastAsia="宋体" w:cs="Tahoma"/>
          <w:kern w:val="0"/>
          <w:szCs w:val="32"/>
        </w:rPr>
      </w:pPr>
      <w:r>
        <w:rPr>
          <w:rFonts w:hint="eastAsia" w:ascii="宋体" w:hAnsi="宋体" w:cs="Tahoma"/>
          <w:kern w:val="0"/>
          <w:szCs w:val="32"/>
        </w:rPr>
        <w:t>为做好我省医疗机构药品集中采购工作，根据《国务院办公厅关于完善公立医院药品集中采购工作的指导意见》</w:t>
      </w:r>
      <w:r>
        <w:rPr>
          <w:rFonts w:ascii="宋体" w:hAnsi="宋体" w:cs="Tahoma"/>
          <w:kern w:val="0"/>
          <w:szCs w:val="32"/>
        </w:rPr>
        <w:t>(</w:t>
      </w:r>
      <w:r>
        <w:rPr>
          <w:rFonts w:hint="eastAsia" w:ascii="宋体" w:hAnsi="宋体" w:cs="Tahoma"/>
          <w:kern w:val="0"/>
          <w:szCs w:val="32"/>
        </w:rPr>
        <w:t>国办发〔</w:t>
      </w:r>
      <w:r>
        <w:rPr>
          <w:rFonts w:ascii="宋体" w:hAnsi="宋体" w:cs="Tahoma"/>
          <w:kern w:val="0"/>
          <w:szCs w:val="32"/>
        </w:rPr>
        <w:t>2015</w:t>
      </w:r>
      <w:r>
        <w:rPr>
          <w:rFonts w:hint="eastAsia" w:ascii="宋体" w:hAnsi="宋体" w:cs="Tahoma"/>
          <w:kern w:val="0"/>
          <w:szCs w:val="32"/>
        </w:rPr>
        <w:t>〕</w:t>
      </w:r>
      <w:r>
        <w:rPr>
          <w:rFonts w:ascii="宋体" w:hAnsi="宋体" w:cs="Tahoma"/>
          <w:kern w:val="0"/>
          <w:szCs w:val="32"/>
        </w:rPr>
        <w:t>7</w:t>
      </w:r>
      <w:r>
        <w:rPr>
          <w:rFonts w:hint="eastAsia" w:ascii="宋体" w:hAnsi="宋体" w:cs="Tahoma"/>
          <w:kern w:val="0"/>
          <w:szCs w:val="32"/>
        </w:rPr>
        <w:t>号</w:t>
      </w:r>
      <w:r>
        <w:rPr>
          <w:rFonts w:ascii="宋体" w:hAnsi="宋体" w:cs="Tahoma"/>
          <w:kern w:val="0"/>
          <w:szCs w:val="32"/>
        </w:rPr>
        <w:t>)</w:t>
      </w:r>
      <w:r>
        <w:rPr>
          <w:rFonts w:hint="eastAsia" w:ascii="宋体" w:hAnsi="宋体" w:cs="Tahoma"/>
          <w:kern w:val="0"/>
          <w:szCs w:val="32"/>
        </w:rPr>
        <w:t>、《国家卫生计生委关于落实完善公立医院药品集中采购工作指导意见的通知》</w:t>
      </w:r>
      <w:r>
        <w:rPr>
          <w:rFonts w:ascii="宋体" w:hAnsi="宋体" w:cs="Tahoma"/>
          <w:kern w:val="0"/>
          <w:szCs w:val="32"/>
        </w:rPr>
        <w:t>(</w:t>
      </w:r>
      <w:r>
        <w:rPr>
          <w:rFonts w:hint="eastAsia" w:ascii="宋体" w:hAnsi="宋体" w:cs="Tahoma"/>
          <w:kern w:val="0"/>
          <w:szCs w:val="32"/>
        </w:rPr>
        <w:t>国卫药政发〔</w:t>
      </w:r>
      <w:r>
        <w:rPr>
          <w:rFonts w:ascii="宋体" w:hAnsi="宋体" w:cs="Tahoma"/>
          <w:kern w:val="0"/>
          <w:szCs w:val="32"/>
        </w:rPr>
        <w:t>2015</w:t>
      </w:r>
      <w:r>
        <w:rPr>
          <w:rFonts w:hint="eastAsia" w:ascii="宋体" w:hAnsi="宋体" w:cs="Tahoma"/>
          <w:kern w:val="0"/>
          <w:szCs w:val="32"/>
        </w:rPr>
        <w:t>〕</w:t>
      </w:r>
      <w:r>
        <w:rPr>
          <w:rFonts w:ascii="宋体" w:hAnsi="宋体" w:cs="Tahoma"/>
          <w:kern w:val="0"/>
          <w:szCs w:val="32"/>
        </w:rPr>
        <w:t>70</w:t>
      </w:r>
      <w:r>
        <w:rPr>
          <w:rFonts w:hint="eastAsia" w:ascii="宋体" w:hAnsi="宋体" w:cs="Tahoma"/>
          <w:kern w:val="0"/>
          <w:szCs w:val="32"/>
        </w:rPr>
        <w:t>号</w:t>
      </w:r>
      <w:r>
        <w:rPr>
          <w:rFonts w:ascii="宋体" w:hAnsi="宋体" w:cs="Tahoma"/>
          <w:kern w:val="0"/>
          <w:szCs w:val="32"/>
        </w:rPr>
        <w:t>)</w:t>
      </w:r>
      <w:r>
        <w:rPr>
          <w:rFonts w:hint="eastAsia" w:ascii="宋体" w:hAnsi="宋体" w:cs="Tahoma"/>
          <w:kern w:val="0"/>
          <w:szCs w:val="32"/>
        </w:rPr>
        <w:t>和《山东省人民政府办公厅关于贯彻落实国办发〔</w:t>
      </w:r>
      <w:r>
        <w:rPr>
          <w:rFonts w:ascii="宋体" w:hAnsi="宋体" w:cs="Tahoma"/>
          <w:kern w:val="0"/>
          <w:szCs w:val="32"/>
        </w:rPr>
        <w:t>2015</w:t>
      </w:r>
      <w:r>
        <w:rPr>
          <w:rFonts w:hint="eastAsia" w:ascii="宋体" w:hAnsi="宋体" w:cs="Tahoma"/>
          <w:kern w:val="0"/>
          <w:szCs w:val="32"/>
        </w:rPr>
        <w:t>〕</w:t>
      </w:r>
      <w:r>
        <w:rPr>
          <w:rFonts w:ascii="宋体" w:hAnsi="宋体" w:cs="Tahoma"/>
          <w:kern w:val="0"/>
          <w:szCs w:val="32"/>
        </w:rPr>
        <w:t>7</w:t>
      </w:r>
      <w:r>
        <w:rPr>
          <w:rFonts w:hint="eastAsia" w:ascii="宋体" w:hAnsi="宋体" w:cs="Tahoma"/>
          <w:kern w:val="0"/>
          <w:szCs w:val="32"/>
        </w:rPr>
        <w:t>号文件完善公立医院药品集中采购工作的实施意见》</w:t>
      </w:r>
      <w:r>
        <w:rPr>
          <w:rFonts w:ascii="宋体" w:hAnsi="宋体" w:cs="Tahoma"/>
          <w:kern w:val="0"/>
          <w:szCs w:val="32"/>
        </w:rPr>
        <w:t>(</w:t>
      </w:r>
      <w:r>
        <w:rPr>
          <w:rFonts w:hint="eastAsia" w:ascii="宋体" w:hAnsi="宋体" w:cs="Tahoma"/>
          <w:kern w:val="0"/>
          <w:szCs w:val="32"/>
        </w:rPr>
        <w:t>鲁政办发〔</w:t>
      </w:r>
      <w:r>
        <w:rPr>
          <w:rFonts w:ascii="宋体" w:hAnsi="宋体" w:cs="Tahoma"/>
          <w:kern w:val="0"/>
          <w:szCs w:val="32"/>
        </w:rPr>
        <w:t>2015</w:t>
      </w:r>
      <w:r>
        <w:rPr>
          <w:rFonts w:hint="eastAsia" w:ascii="宋体" w:hAnsi="宋体" w:cs="Tahoma"/>
          <w:kern w:val="0"/>
          <w:szCs w:val="32"/>
        </w:rPr>
        <w:t>〕</w:t>
      </w:r>
      <w:r>
        <w:rPr>
          <w:rFonts w:ascii="宋体" w:hAnsi="宋体" w:cs="Tahoma"/>
          <w:kern w:val="0"/>
          <w:szCs w:val="32"/>
        </w:rPr>
        <w:t>47</w:t>
      </w:r>
      <w:r>
        <w:rPr>
          <w:rFonts w:hint="eastAsia" w:ascii="宋体" w:hAnsi="宋体" w:cs="Tahoma"/>
          <w:kern w:val="0"/>
          <w:szCs w:val="32"/>
        </w:rPr>
        <w:t>号</w:t>
      </w:r>
      <w:r>
        <w:rPr>
          <w:rFonts w:ascii="宋体" w:hAnsi="宋体" w:cs="Tahoma"/>
          <w:kern w:val="0"/>
          <w:szCs w:val="32"/>
        </w:rPr>
        <w:t>)</w:t>
      </w:r>
      <w:r>
        <w:rPr>
          <w:rFonts w:hint="eastAsia" w:ascii="宋体" w:hAnsi="宋体" w:cs="Tahoma"/>
          <w:kern w:val="0"/>
          <w:szCs w:val="32"/>
        </w:rPr>
        <w:t>等文件精神，结合我省实际，制定本采购文件。</w:t>
      </w:r>
    </w:p>
    <w:p>
      <w:pPr>
        <w:ind w:firstLine="31680" w:firstLineChars="200"/>
        <w:rPr>
          <w:rFonts w:ascii="宋体" w:hAnsi="宋体" w:eastAsia="宋体" w:cs="Tahoma"/>
          <w:kern w:val="0"/>
          <w:szCs w:val="32"/>
        </w:rPr>
      </w:pPr>
      <w:r>
        <w:rPr>
          <w:rFonts w:hint="eastAsia" w:ascii="宋体" w:hAnsi="宋体" w:eastAsia="黑体" w:cs="宋体"/>
          <w:kern w:val="0"/>
        </w:rPr>
        <w:t>一、基本原则</w:t>
      </w:r>
    </w:p>
    <w:p>
      <w:pPr>
        <w:ind w:firstLine="31680" w:firstLineChars="200"/>
        <w:rPr>
          <w:rFonts w:ascii="宋体" w:hAnsi="宋体" w:eastAsia="宋体" w:cs="宋体"/>
          <w:kern w:val="0"/>
          <w:szCs w:val="32"/>
        </w:rPr>
      </w:pPr>
      <w:r>
        <w:rPr>
          <w:rFonts w:hint="eastAsia" w:ascii="宋体" w:hAnsi="宋体" w:cs="宋体"/>
          <w:kern w:val="0"/>
          <w:szCs w:val="32"/>
        </w:rPr>
        <w:t>（一）坚持以省为单位的药品集中采购方向，一个平台，上下联动。</w:t>
      </w:r>
    </w:p>
    <w:p>
      <w:pPr>
        <w:ind w:firstLine="31680" w:firstLineChars="200"/>
        <w:rPr>
          <w:rFonts w:ascii="宋体" w:hAnsi="宋体" w:eastAsia="宋体" w:cs="宋体"/>
          <w:kern w:val="0"/>
          <w:szCs w:val="32"/>
        </w:rPr>
      </w:pPr>
      <w:r>
        <w:rPr>
          <w:rFonts w:hint="eastAsia" w:ascii="宋体" w:hAnsi="宋体" w:cs="宋体"/>
          <w:kern w:val="0"/>
          <w:szCs w:val="32"/>
        </w:rPr>
        <w:t>（二）为需而采，分类采购，质量优先，价格合理。</w:t>
      </w:r>
    </w:p>
    <w:p>
      <w:pPr>
        <w:ind w:firstLine="31680" w:firstLineChars="200"/>
        <w:rPr>
          <w:rFonts w:ascii="宋体" w:hAnsi="宋体" w:eastAsia="宋体" w:cs="宋体"/>
          <w:kern w:val="0"/>
          <w:szCs w:val="32"/>
        </w:rPr>
      </w:pPr>
      <w:r>
        <w:rPr>
          <w:rFonts w:hint="eastAsia" w:ascii="宋体" w:hAnsi="宋体" w:cs="宋体"/>
          <w:kern w:val="0"/>
          <w:szCs w:val="32"/>
        </w:rPr>
        <w:t>（三）阳光采购，公开、公平、公正，全程监管。</w:t>
      </w:r>
    </w:p>
    <w:p>
      <w:pPr>
        <w:ind w:firstLine="31680" w:firstLineChars="200"/>
        <w:rPr>
          <w:rFonts w:ascii="宋体" w:hAnsi="宋体" w:eastAsia="宋体" w:cs="宋体"/>
          <w:kern w:val="0"/>
          <w:szCs w:val="32"/>
        </w:rPr>
      </w:pPr>
      <w:r>
        <w:rPr>
          <w:rFonts w:hint="eastAsia" w:ascii="宋体" w:hAnsi="宋体" w:cs="宋体"/>
          <w:kern w:val="0"/>
          <w:szCs w:val="32"/>
        </w:rPr>
        <w:t>（四）分批实施，稳步推进。</w:t>
      </w:r>
    </w:p>
    <w:p>
      <w:pPr>
        <w:ind w:firstLine="31680" w:firstLineChars="200"/>
        <w:rPr>
          <w:rFonts w:ascii="宋体" w:hAnsi="宋体" w:eastAsia="黑体" w:cs="宋体"/>
          <w:kern w:val="0"/>
          <w:szCs w:val="32"/>
        </w:rPr>
      </w:pPr>
      <w:r>
        <w:rPr>
          <w:rFonts w:hint="eastAsia" w:ascii="宋体" w:hAnsi="宋体" w:eastAsia="黑体" w:cs="宋体"/>
          <w:kern w:val="0"/>
          <w:szCs w:val="32"/>
        </w:rPr>
        <w:t>二、实施范围</w:t>
      </w:r>
    </w:p>
    <w:p>
      <w:pPr>
        <w:tabs>
          <w:tab w:val="left" w:pos="432"/>
          <w:tab w:val="center" w:pos="4422"/>
        </w:tabs>
        <w:ind w:firstLine="31680" w:firstLineChars="200"/>
        <w:rPr>
          <w:rFonts w:ascii="宋体" w:hAnsi="宋体" w:eastAsia="宋体" w:cs="宋体"/>
          <w:kern w:val="0"/>
          <w:szCs w:val="32"/>
        </w:rPr>
      </w:pPr>
      <w:r>
        <w:rPr>
          <w:rFonts w:hint="eastAsia" w:ascii="宋体" w:hAnsi="宋体" w:cs="宋体"/>
          <w:kern w:val="0"/>
          <w:szCs w:val="32"/>
        </w:rPr>
        <w:t>（一）县级及以上人民政府、国有企业</w:t>
      </w:r>
      <w:r>
        <w:rPr>
          <w:rFonts w:ascii="宋体" w:hAnsi="宋体" w:cs="宋体"/>
          <w:kern w:val="0"/>
          <w:szCs w:val="32"/>
        </w:rPr>
        <w:t>(</w:t>
      </w:r>
      <w:r>
        <w:rPr>
          <w:rFonts w:hint="eastAsia" w:ascii="宋体" w:hAnsi="宋体" w:cs="宋体"/>
          <w:kern w:val="0"/>
          <w:szCs w:val="32"/>
        </w:rPr>
        <w:t>含国有控股企业</w:t>
      </w:r>
      <w:r>
        <w:rPr>
          <w:rFonts w:ascii="宋体" w:hAnsi="宋体" w:cs="宋体"/>
          <w:kern w:val="0"/>
          <w:szCs w:val="32"/>
        </w:rPr>
        <w:t>)</w:t>
      </w:r>
      <w:r>
        <w:rPr>
          <w:rFonts w:hint="eastAsia" w:ascii="宋体" w:hAnsi="宋体" w:cs="宋体"/>
          <w:kern w:val="0"/>
          <w:szCs w:val="32"/>
        </w:rPr>
        <w:t>等举办的非营利性医疗机构。</w:t>
      </w:r>
    </w:p>
    <w:p>
      <w:pPr>
        <w:tabs>
          <w:tab w:val="left" w:pos="432"/>
          <w:tab w:val="center" w:pos="4422"/>
        </w:tabs>
        <w:ind w:firstLine="31680" w:firstLineChars="200"/>
        <w:rPr>
          <w:rFonts w:ascii="宋体" w:eastAsia="宋体" w:cs="宋体"/>
          <w:kern w:val="0"/>
          <w:szCs w:val="32"/>
        </w:rPr>
      </w:pPr>
      <w:r>
        <w:rPr>
          <w:rFonts w:hint="eastAsia" w:ascii="宋体" w:hAnsi="宋体" w:cs="宋体"/>
          <w:kern w:val="0"/>
          <w:szCs w:val="32"/>
        </w:rPr>
        <w:t>（二）实施基本药物制度的基层医疗卫生机构。</w:t>
      </w:r>
    </w:p>
    <w:p>
      <w:pPr>
        <w:tabs>
          <w:tab w:val="left" w:pos="432"/>
          <w:tab w:val="center" w:pos="4422"/>
        </w:tabs>
        <w:ind w:firstLine="31680" w:firstLineChars="200"/>
        <w:rPr>
          <w:rFonts w:ascii="宋体" w:hAnsi="宋体" w:eastAsia="宋体" w:cs="宋体"/>
          <w:kern w:val="0"/>
          <w:szCs w:val="32"/>
        </w:rPr>
      </w:pPr>
      <w:r>
        <w:rPr>
          <w:rFonts w:hint="eastAsia" w:ascii="宋体" w:hAnsi="宋体" w:cs="宋体"/>
          <w:kern w:val="0"/>
          <w:szCs w:val="32"/>
        </w:rPr>
        <w:t>（三）鼓励其他医疗卫生机构积极参与。</w:t>
      </w:r>
    </w:p>
    <w:p>
      <w:pPr>
        <w:tabs>
          <w:tab w:val="left" w:pos="432"/>
          <w:tab w:val="center" w:pos="4422"/>
        </w:tabs>
        <w:ind w:firstLine="31680" w:firstLineChars="200"/>
        <w:rPr>
          <w:rFonts w:ascii="宋体" w:hAnsi="宋体" w:eastAsia="宋体" w:cs="宋体"/>
          <w:kern w:val="0"/>
          <w:szCs w:val="32"/>
        </w:rPr>
      </w:pPr>
      <w:r>
        <w:rPr>
          <w:rFonts w:hint="eastAsia" w:ascii="宋体" w:hAnsi="宋体" w:eastAsia="黑体" w:cs="宋体"/>
          <w:kern w:val="0"/>
          <w:szCs w:val="32"/>
        </w:rPr>
        <w:t>三、适用范围</w:t>
      </w:r>
    </w:p>
    <w:p>
      <w:pPr>
        <w:ind w:firstLine="31680" w:firstLineChars="200"/>
        <w:rPr>
          <w:rFonts w:ascii="宋体" w:hAnsi="宋体" w:eastAsia="宋体" w:cs="宋体"/>
          <w:kern w:val="0"/>
          <w:szCs w:val="32"/>
        </w:rPr>
      </w:pPr>
      <w:r>
        <w:rPr>
          <w:rFonts w:hint="eastAsia" w:ascii="宋体" w:hAnsi="宋体" w:cs="宋体"/>
          <w:kern w:val="0"/>
          <w:szCs w:val="32"/>
        </w:rPr>
        <w:t>参加本次药品集中采购的医疗卫生机构、药品生产经营企业及其他各方当事人，适用本采购文件。</w:t>
      </w:r>
    </w:p>
    <w:p>
      <w:pPr>
        <w:ind w:firstLine="31680" w:firstLineChars="200"/>
        <w:rPr>
          <w:rFonts w:ascii="宋体" w:hAnsi="宋体" w:eastAsia="黑体" w:cs="宋体"/>
          <w:kern w:val="0"/>
          <w:szCs w:val="32"/>
        </w:rPr>
      </w:pPr>
      <w:r>
        <w:rPr>
          <w:rFonts w:hint="eastAsia" w:ascii="宋体" w:hAnsi="宋体" w:eastAsia="黑体" w:cs="宋体"/>
          <w:kern w:val="0"/>
          <w:szCs w:val="32"/>
        </w:rPr>
        <w:t>四、采购周期</w:t>
      </w:r>
    </w:p>
    <w:p>
      <w:pPr>
        <w:ind w:firstLine="31680" w:firstLineChars="200"/>
        <w:rPr>
          <w:rFonts w:ascii="宋体" w:hAnsi="宋体" w:eastAsia="宋体" w:cs="宋体"/>
          <w:kern w:val="0"/>
          <w:szCs w:val="32"/>
        </w:rPr>
      </w:pPr>
      <w:r>
        <w:rPr>
          <w:rFonts w:hint="eastAsia" w:ascii="宋体" w:hAnsi="宋体" w:cs="宋体"/>
          <w:kern w:val="0"/>
          <w:szCs w:val="32"/>
        </w:rPr>
        <w:t>原则上不少于一年。</w:t>
      </w:r>
    </w:p>
    <w:p>
      <w:pPr>
        <w:ind w:firstLine="31680" w:firstLineChars="200"/>
        <w:rPr>
          <w:rFonts w:ascii="宋体" w:hAnsi="宋体" w:eastAsia="宋体" w:cs="宋体"/>
          <w:kern w:val="0"/>
          <w:szCs w:val="32"/>
        </w:rPr>
      </w:pPr>
      <w:r>
        <w:rPr>
          <w:rFonts w:hint="eastAsia" w:ascii="宋体" w:hAnsi="宋体" w:eastAsia="黑体" w:cs="宋体"/>
          <w:kern w:val="0"/>
          <w:szCs w:val="32"/>
        </w:rPr>
        <w:t>五、名词解释</w:t>
      </w:r>
      <w:r>
        <w:rPr>
          <w:rFonts w:hint="eastAsia" w:ascii="宋体" w:hAnsi="宋体" w:cs="宋体"/>
          <w:kern w:val="0"/>
          <w:szCs w:val="32"/>
        </w:rPr>
        <w:t>（详见附件</w:t>
      </w:r>
      <w:r>
        <w:rPr>
          <w:rFonts w:ascii="宋体" w:hAnsi="宋体" w:cs="宋体"/>
          <w:kern w:val="0"/>
          <w:szCs w:val="32"/>
        </w:rPr>
        <w:t>1</w:t>
      </w:r>
      <w:r>
        <w:rPr>
          <w:rFonts w:hint="eastAsia" w:ascii="宋体" w:hAnsi="宋体" w:cs="宋体"/>
          <w:kern w:val="0"/>
          <w:szCs w:val="32"/>
        </w:rPr>
        <w:t>）</w:t>
      </w:r>
    </w:p>
    <w:p>
      <w:pPr>
        <w:ind w:firstLine="31680" w:firstLineChars="200"/>
        <w:rPr>
          <w:rFonts w:ascii="宋体" w:hAnsi="宋体" w:eastAsia="黑体"/>
        </w:rPr>
      </w:pPr>
      <w:r>
        <w:rPr>
          <w:rFonts w:hint="eastAsia" w:ascii="宋体" w:hAnsi="宋体" w:eastAsia="黑体" w:cs="宋体"/>
          <w:kern w:val="0"/>
          <w:szCs w:val="32"/>
        </w:rPr>
        <w:t>六、</w:t>
      </w:r>
      <w:r>
        <w:rPr>
          <w:rFonts w:hint="eastAsia" w:ascii="宋体" w:hAnsi="宋体" w:eastAsia="黑体"/>
        </w:rPr>
        <w:t>责任履行</w:t>
      </w:r>
    </w:p>
    <w:p>
      <w:pPr>
        <w:ind w:firstLine="31680" w:firstLineChars="200"/>
        <w:rPr>
          <w:rFonts w:ascii="宋体" w:hAnsi="宋体" w:eastAsia="宋体"/>
        </w:rPr>
      </w:pPr>
      <w:r>
        <w:rPr>
          <w:rFonts w:hint="eastAsia" w:ascii="宋体" w:hAnsi="宋体"/>
        </w:rPr>
        <w:t>药品生产企业是保障药品质量安全、供应配送的第一责任主体。药品生产、经营和使用单位必须严格执行相关法律法规和不良记录管理等有关规定，并承担相应责任。</w:t>
      </w:r>
    </w:p>
    <w:p>
      <w:pPr>
        <w:ind w:firstLine="31680" w:firstLineChars="200"/>
        <w:rPr>
          <w:rFonts w:ascii="宋体" w:hAnsi="宋体" w:eastAsia="黑体" w:cs="宋体"/>
          <w:kern w:val="0"/>
          <w:szCs w:val="32"/>
        </w:rPr>
      </w:pPr>
      <w:r>
        <w:rPr>
          <w:rFonts w:hint="eastAsia" w:ascii="宋体" w:hAnsi="宋体" w:eastAsia="黑体" w:cs="宋体"/>
          <w:kern w:val="0"/>
          <w:szCs w:val="32"/>
        </w:rPr>
        <w:t>七、公告发布</w:t>
      </w:r>
    </w:p>
    <w:p>
      <w:pPr>
        <w:adjustRightInd w:val="0"/>
        <w:ind w:firstLine="31680" w:firstLineChars="200"/>
        <w:jc w:val="left"/>
        <w:rPr>
          <w:rFonts w:ascii="宋体" w:hAnsi="宋体" w:eastAsia="宋体"/>
        </w:rPr>
      </w:pPr>
      <w:r>
        <w:rPr>
          <w:rFonts w:hint="eastAsia" w:ascii="宋体" w:hAnsi="宋体"/>
        </w:rPr>
        <w:t>本次药品集中采购所有公告、信息均通过</w:t>
      </w:r>
      <w:r>
        <w:rPr>
          <w:rFonts w:hint="eastAsia" w:ascii="宋体" w:hAnsi="宋体" w:cs="宋体"/>
          <w:kern w:val="0"/>
          <w:szCs w:val="32"/>
        </w:rPr>
        <w:t>山东省药品集中采购网</w:t>
      </w:r>
      <w:r>
        <w:rPr>
          <w:rFonts w:ascii="宋体" w:hAnsi="宋体"/>
        </w:rPr>
        <w:t>(</w:t>
      </w:r>
      <w:r>
        <w:rPr>
          <w:rFonts w:hint="eastAsia" w:ascii="宋体" w:hAnsi="宋体"/>
        </w:rPr>
        <w:t>网址：</w:t>
      </w:r>
      <w:r>
        <w:fldChar w:fldCharType="begin"/>
      </w:r>
      <w:r>
        <w:instrText xml:space="preserve"> HYPERLINK "http://www.sdyypt.cn/" </w:instrText>
      </w:r>
      <w:r>
        <w:fldChar w:fldCharType="separate"/>
      </w:r>
      <w:r>
        <w:rPr>
          <w:rFonts w:ascii="宋体" w:hAnsi="宋体" w:eastAsia="宋体"/>
          <w:spacing w:val="-20"/>
        </w:rPr>
        <w:t>http://www.sdyypt.</w:t>
      </w:r>
      <w:r>
        <w:rPr>
          <w:rFonts w:ascii="宋体" w:hAnsi="宋体" w:eastAsia="宋体"/>
          <w:spacing w:val="-20"/>
        </w:rPr>
        <w:fldChar w:fldCharType="end"/>
      </w:r>
      <w:r>
        <w:rPr>
          <w:rFonts w:ascii="宋体" w:hAnsi="宋体" w:eastAsia="宋体"/>
        </w:rPr>
        <w:t>net</w:t>
      </w:r>
      <w:r>
        <w:rPr>
          <w:rFonts w:ascii="宋体" w:hAnsi="宋体"/>
        </w:rPr>
        <w:t>)</w:t>
      </w:r>
      <w:r>
        <w:rPr>
          <w:rFonts w:hint="eastAsia" w:ascii="宋体" w:hAnsi="宋体"/>
        </w:rPr>
        <w:t>发布。</w:t>
      </w:r>
    </w:p>
    <w:p>
      <w:pPr>
        <w:adjustRightInd w:val="0"/>
        <w:ind w:firstLine="31680" w:firstLineChars="200"/>
        <w:rPr>
          <w:rFonts w:ascii="宋体" w:hAnsi="宋体" w:eastAsia="黑体"/>
        </w:rPr>
      </w:pPr>
      <w:r>
        <w:rPr>
          <w:rFonts w:hint="eastAsia" w:ascii="宋体" w:hAnsi="宋体" w:eastAsia="黑体"/>
        </w:rPr>
        <w:t>八、工作机构</w:t>
      </w:r>
    </w:p>
    <w:p>
      <w:pPr>
        <w:ind w:firstLine="31680" w:firstLineChars="200"/>
        <w:rPr>
          <w:rFonts w:ascii="宋体" w:eastAsia="宋体" w:cs="宋体"/>
          <w:kern w:val="0"/>
          <w:szCs w:val="32"/>
        </w:rPr>
      </w:pPr>
      <w:r>
        <w:rPr>
          <w:rFonts w:hint="eastAsia" w:ascii="宋体" w:hAnsi="宋体" w:cs="宋体"/>
          <w:kern w:val="0"/>
          <w:szCs w:val="32"/>
        </w:rPr>
        <w:t>机构名称：山东省药品集中采购服务中心</w:t>
      </w:r>
      <w:r>
        <w:rPr>
          <w:rFonts w:ascii="宋体" w:hAnsi="宋体" w:cs="宋体"/>
          <w:kern w:val="0"/>
          <w:szCs w:val="32"/>
        </w:rPr>
        <w:t>(</w:t>
      </w:r>
      <w:r>
        <w:rPr>
          <w:rFonts w:hint="eastAsia" w:ascii="宋体" w:hAnsi="宋体" w:cs="宋体"/>
          <w:kern w:val="0"/>
          <w:szCs w:val="32"/>
        </w:rPr>
        <w:t>以下简称“省药采中心”</w:t>
      </w:r>
      <w:r>
        <w:rPr>
          <w:rFonts w:ascii="宋体" w:hAnsi="宋体" w:cs="宋体"/>
          <w:kern w:val="0"/>
          <w:szCs w:val="32"/>
        </w:rPr>
        <w:t>)</w:t>
      </w:r>
    </w:p>
    <w:p>
      <w:pPr>
        <w:ind w:firstLine="31680" w:firstLineChars="200"/>
        <w:rPr>
          <w:rFonts w:ascii="宋体" w:eastAsia="宋体" w:cs="宋体"/>
          <w:kern w:val="0"/>
          <w:szCs w:val="32"/>
        </w:rPr>
      </w:pPr>
      <w:r>
        <w:rPr>
          <w:rFonts w:hint="eastAsia" w:ascii="宋体" w:hAnsi="宋体" w:cs="宋体"/>
          <w:kern w:val="0"/>
          <w:szCs w:val="32"/>
        </w:rPr>
        <w:t>地址：济南市燕东新路</w:t>
      </w:r>
      <w:r>
        <w:rPr>
          <w:rFonts w:ascii="宋体" w:hAnsi="宋体" w:cs="宋体"/>
          <w:kern w:val="0"/>
          <w:szCs w:val="32"/>
        </w:rPr>
        <w:t>9-1</w:t>
      </w:r>
      <w:r>
        <w:rPr>
          <w:rFonts w:hint="eastAsia" w:ascii="宋体" w:hAnsi="宋体" w:cs="宋体"/>
          <w:kern w:val="0"/>
          <w:szCs w:val="32"/>
        </w:rPr>
        <w:t>号</w:t>
      </w:r>
      <w:r>
        <w:rPr>
          <w:rFonts w:ascii="宋体" w:hAnsi="宋体" w:cs="宋体"/>
          <w:kern w:val="0"/>
          <w:szCs w:val="32"/>
        </w:rPr>
        <w:t>(</w:t>
      </w:r>
      <w:r>
        <w:rPr>
          <w:rFonts w:hint="eastAsia" w:ascii="宋体" w:hAnsi="宋体" w:cs="宋体"/>
          <w:kern w:val="0"/>
          <w:szCs w:val="32"/>
        </w:rPr>
        <w:t>邮政编码：</w:t>
      </w:r>
      <w:r>
        <w:rPr>
          <w:rFonts w:ascii="宋体" w:hAnsi="宋体" w:cs="宋体"/>
          <w:kern w:val="0"/>
          <w:szCs w:val="32"/>
        </w:rPr>
        <w:t>250014)</w:t>
      </w:r>
    </w:p>
    <w:p>
      <w:pPr>
        <w:ind w:firstLine="31680" w:firstLineChars="200"/>
        <w:rPr>
          <w:rFonts w:ascii="宋体" w:eastAsia="宋体" w:cs="宋体"/>
          <w:kern w:val="0"/>
          <w:szCs w:val="32"/>
        </w:rPr>
      </w:pPr>
      <w:r>
        <w:rPr>
          <w:rFonts w:hint="eastAsia" w:ascii="宋体" w:hAnsi="宋体" w:cs="宋体"/>
          <w:kern w:val="0"/>
          <w:szCs w:val="32"/>
        </w:rPr>
        <w:t>电话：</w:t>
      </w:r>
      <w:r>
        <w:rPr>
          <w:rFonts w:ascii="宋体" w:hAnsi="宋体" w:cs="宋体"/>
          <w:kern w:val="0"/>
          <w:szCs w:val="32"/>
        </w:rPr>
        <w:t>0531-67873123</w:t>
      </w:r>
      <w:r>
        <w:rPr>
          <w:rFonts w:hint="eastAsia" w:ascii="宋体" w:hAnsi="宋体" w:cs="宋体"/>
          <w:kern w:val="0"/>
          <w:szCs w:val="32"/>
        </w:rPr>
        <w:t>、</w:t>
      </w:r>
      <w:r>
        <w:rPr>
          <w:rFonts w:ascii="宋体" w:hAnsi="宋体" w:cs="宋体"/>
          <w:kern w:val="0"/>
          <w:szCs w:val="32"/>
        </w:rPr>
        <w:t>67873167(</w:t>
      </w:r>
      <w:r>
        <w:rPr>
          <w:rFonts w:hint="eastAsia" w:ascii="宋体" w:hAnsi="宋体" w:cs="宋体"/>
          <w:kern w:val="0"/>
          <w:szCs w:val="32"/>
        </w:rPr>
        <w:t>受理大厅</w:t>
      </w:r>
      <w:r>
        <w:rPr>
          <w:rFonts w:ascii="宋体" w:hAnsi="宋体" w:cs="宋体"/>
          <w:kern w:val="0"/>
          <w:szCs w:val="32"/>
        </w:rPr>
        <w:t>)</w:t>
      </w:r>
      <w:r>
        <w:rPr>
          <w:rFonts w:hint="eastAsia" w:ascii="宋体" w:hAnsi="宋体" w:cs="宋体"/>
          <w:kern w:val="0"/>
          <w:szCs w:val="32"/>
        </w:rPr>
        <w:t>、</w:t>
      </w:r>
      <w:r>
        <w:rPr>
          <w:rFonts w:ascii="宋体" w:hAnsi="宋体" w:cs="宋体"/>
          <w:kern w:val="0"/>
          <w:szCs w:val="32"/>
        </w:rPr>
        <w:t>67873135(</w:t>
      </w:r>
      <w:r>
        <w:rPr>
          <w:rFonts w:hint="eastAsia" w:ascii="宋体" w:hAnsi="宋体" w:cs="宋体"/>
          <w:kern w:val="0"/>
          <w:szCs w:val="32"/>
        </w:rPr>
        <w:t>技术咨询</w:t>
      </w:r>
      <w:r>
        <w:rPr>
          <w:rFonts w:ascii="宋体" w:hAnsi="宋体" w:cs="宋体"/>
          <w:kern w:val="0"/>
          <w:szCs w:val="32"/>
        </w:rPr>
        <w:t>)</w:t>
      </w:r>
    </w:p>
    <w:p>
      <w:pPr>
        <w:tabs>
          <w:tab w:val="left" w:pos="432"/>
          <w:tab w:val="center" w:pos="4422"/>
        </w:tabs>
        <w:ind w:firstLine="31680" w:firstLineChars="200"/>
        <w:rPr>
          <w:rFonts w:ascii="宋体" w:eastAsia="宋体" w:cs="宋体"/>
          <w:kern w:val="0"/>
          <w:szCs w:val="32"/>
        </w:rPr>
      </w:pPr>
      <w:r>
        <w:rPr>
          <w:rFonts w:hint="eastAsia" w:ascii="宋体" w:hAnsi="宋体" w:cs="宋体"/>
          <w:kern w:val="0"/>
          <w:szCs w:val="32"/>
        </w:rPr>
        <w:t>传真：</w:t>
      </w:r>
      <w:r>
        <w:rPr>
          <w:rFonts w:ascii="宋体" w:hAnsi="宋体" w:cs="宋体"/>
          <w:kern w:val="0"/>
          <w:szCs w:val="32"/>
        </w:rPr>
        <w:t>0531-67873130</w:t>
      </w:r>
    </w:p>
    <w:p>
      <w:pPr>
        <w:tabs>
          <w:tab w:val="left" w:pos="432"/>
          <w:tab w:val="center" w:pos="4422"/>
        </w:tabs>
        <w:ind w:firstLine="31680" w:firstLineChars="200"/>
        <w:rPr>
          <w:rFonts w:ascii="宋体" w:eastAsia="宋体" w:cs="宋体"/>
          <w:kern w:val="0"/>
          <w:szCs w:val="32"/>
        </w:rPr>
      </w:pPr>
      <w:r>
        <w:rPr>
          <w:rFonts w:hint="eastAsia" w:ascii="宋体" w:hAnsi="宋体" w:cs="宋体"/>
          <w:kern w:val="0"/>
          <w:szCs w:val="32"/>
        </w:rPr>
        <w:t>电子邮箱：</w:t>
      </w:r>
      <w:r>
        <w:rPr>
          <w:rFonts w:ascii="宋体" w:hAnsi="宋体" w:cs="宋体"/>
          <w:kern w:val="0"/>
          <w:szCs w:val="32"/>
        </w:rPr>
        <w:t>sdyypt@163.com</w:t>
      </w:r>
    </w:p>
    <w:p>
      <w:pPr>
        <w:tabs>
          <w:tab w:val="left" w:pos="2064"/>
          <w:tab w:val="center" w:pos="4425"/>
        </w:tabs>
        <w:adjustRightInd w:val="0"/>
        <w:spacing w:afterLines="50"/>
        <w:jc w:val="center"/>
        <w:rPr>
          <w:rFonts w:ascii="宋体" w:hAnsi="宋体" w:eastAsia="黑体"/>
          <w:sz w:val="36"/>
          <w:szCs w:val="36"/>
        </w:rPr>
      </w:pPr>
      <w:r>
        <w:rPr>
          <w:rFonts w:ascii="宋体" w:hAnsi="宋体" w:eastAsia="黑体"/>
          <w:sz w:val="36"/>
          <w:szCs w:val="36"/>
        </w:rPr>
        <w:br w:type="page"/>
      </w:r>
      <w:r>
        <w:rPr>
          <w:rFonts w:hint="eastAsia" w:ascii="宋体" w:hAnsi="宋体" w:eastAsia="黑体"/>
          <w:sz w:val="36"/>
          <w:szCs w:val="36"/>
        </w:rPr>
        <w:t>第二部分</w:t>
      </w:r>
      <w:r>
        <w:rPr>
          <w:rFonts w:ascii="宋体" w:hAnsi="宋体" w:eastAsia="黑体"/>
          <w:sz w:val="36"/>
          <w:szCs w:val="36"/>
        </w:rPr>
        <w:t xml:space="preserve">  </w:t>
      </w:r>
      <w:r>
        <w:rPr>
          <w:rFonts w:hint="eastAsia" w:ascii="宋体" w:hAnsi="宋体" w:eastAsia="黑体"/>
          <w:sz w:val="36"/>
          <w:szCs w:val="36"/>
        </w:rPr>
        <w:t>采购目录和方式</w:t>
      </w:r>
    </w:p>
    <w:p>
      <w:pPr>
        <w:adjustRightInd w:val="0"/>
        <w:rPr>
          <w:rFonts w:ascii="宋体" w:hAnsi="宋体" w:eastAsia="黑体"/>
        </w:rPr>
      </w:pPr>
      <w:r>
        <w:rPr>
          <w:rFonts w:ascii="宋体" w:hAnsi="宋体" w:eastAsia="黑体"/>
        </w:rPr>
        <w:t xml:space="preserve">    </w:t>
      </w:r>
      <w:r>
        <w:rPr>
          <w:rFonts w:hint="eastAsia" w:ascii="宋体" w:hAnsi="宋体" w:eastAsia="黑体"/>
        </w:rPr>
        <w:t>一、采购目录编制</w:t>
      </w:r>
    </w:p>
    <w:p>
      <w:pPr>
        <w:ind w:firstLine="630"/>
        <w:rPr>
          <w:rFonts w:ascii="宋体" w:hAnsi="宋体" w:eastAsia="宋体" w:cs="宋体"/>
          <w:kern w:val="0"/>
        </w:rPr>
      </w:pPr>
      <w:r>
        <w:rPr>
          <w:rFonts w:hint="eastAsia" w:ascii="宋体" w:hAnsi="宋体" w:cs="宋体"/>
          <w:kern w:val="0"/>
        </w:rPr>
        <w:t>省药采中心以国家基本药物目录、基本药物临床应用指南及处方集、基本医疗保险药品报销目录和省药品集中采购平台（以下简称“省药采平台”）挂网药品目录为基础，制作遴选目录。医疗机构在此基础上，综合考虑上年度药品采购品种、数量，疾病谱以及就医人群趋势变化等因素，以满足临床需求为导向，按照不低于上年度药品实际使用量的</w:t>
      </w:r>
      <w:r>
        <w:rPr>
          <w:rFonts w:ascii="宋体" w:hAnsi="宋体" w:cs="宋体"/>
          <w:kern w:val="0"/>
        </w:rPr>
        <w:t>80%</w:t>
      </w:r>
      <w:r>
        <w:rPr>
          <w:rFonts w:hint="eastAsia" w:ascii="宋体" w:hAnsi="宋体" w:cs="宋体"/>
          <w:kern w:val="0"/>
        </w:rPr>
        <w:t>（每个药品实际使用量的</w:t>
      </w:r>
      <w:r>
        <w:rPr>
          <w:rFonts w:ascii="宋体" w:hAnsi="宋体" w:cs="宋体"/>
          <w:kern w:val="0"/>
        </w:rPr>
        <w:t>80%</w:t>
      </w:r>
      <w:r>
        <w:rPr>
          <w:rFonts w:hint="eastAsia" w:ascii="宋体" w:hAnsi="宋体" w:cs="宋体"/>
          <w:kern w:val="0"/>
        </w:rPr>
        <w:t>）制定下一年度采购计划和预算，具体到品种、剂型、规格和采购数量。每种药品的采购剂型原则上不超过</w:t>
      </w:r>
      <w:r>
        <w:rPr>
          <w:rFonts w:ascii="宋体" w:hAnsi="宋体" w:cs="宋体"/>
          <w:kern w:val="0"/>
        </w:rPr>
        <w:t>3</w:t>
      </w:r>
      <w:r>
        <w:rPr>
          <w:rFonts w:hint="eastAsia" w:ascii="宋体" w:hAnsi="宋体" w:cs="宋体"/>
          <w:kern w:val="0"/>
        </w:rPr>
        <w:t>种，每种剂型对应的规格原则上不超过</w:t>
      </w:r>
      <w:r>
        <w:rPr>
          <w:rFonts w:ascii="宋体" w:hAnsi="宋体" w:cs="宋体"/>
          <w:kern w:val="0"/>
        </w:rPr>
        <w:t>2</w:t>
      </w:r>
      <w:r>
        <w:rPr>
          <w:rFonts w:hint="eastAsia" w:ascii="宋体" w:hAnsi="宋体" w:cs="宋体"/>
          <w:kern w:val="0"/>
        </w:rPr>
        <w:t>种；药品采购预算一般不高于医疗机构业务支出的</w:t>
      </w:r>
      <w:r>
        <w:rPr>
          <w:rFonts w:ascii="宋体" w:hAnsi="宋体" w:cs="宋体"/>
          <w:kern w:val="0"/>
        </w:rPr>
        <w:t>25%-30%</w:t>
      </w:r>
      <w:r>
        <w:rPr>
          <w:rFonts w:hint="eastAsia" w:ascii="宋体" w:hAnsi="宋体" w:cs="宋体"/>
          <w:kern w:val="0"/>
        </w:rPr>
        <w:t>。重点保障老年人、妇女儿童特殊用药、慢性病和重大疾病患者用药需求。</w:t>
      </w:r>
    </w:p>
    <w:p>
      <w:pPr>
        <w:ind w:firstLine="630"/>
        <w:rPr>
          <w:rFonts w:ascii="宋体" w:hAnsi="宋体" w:eastAsia="宋体" w:cs="宋体"/>
          <w:kern w:val="0"/>
        </w:rPr>
      </w:pPr>
      <w:r>
        <w:rPr>
          <w:rFonts w:hint="eastAsia" w:ascii="宋体" w:hAnsi="宋体" w:cs="宋体"/>
          <w:kern w:val="0"/>
        </w:rPr>
        <w:t>各市卫生计生部门组织辖区内医疗机构通过省药采平台上报采购信息。省药采中心根据上年度省药采平台采购数据，结合医疗机构药品采购计划和采购预算，组织专家研究论证，科学编制山东省医疗机构药品采购目录，分为定点生产药品、谈判采购药品、公开招标采购药品、直接挂网采购药品等。</w:t>
      </w:r>
    </w:p>
    <w:p>
      <w:pPr>
        <w:ind w:firstLine="31680" w:firstLineChars="200"/>
        <w:rPr>
          <w:rFonts w:ascii="宋体" w:hAnsi="宋体" w:eastAsia="黑体" w:cs="宋体"/>
          <w:kern w:val="0"/>
          <w:szCs w:val="32"/>
        </w:rPr>
      </w:pPr>
      <w:r>
        <w:rPr>
          <w:rFonts w:hint="eastAsia" w:ascii="宋体" w:hAnsi="宋体" w:eastAsia="黑体" w:cs="宋体"/>
          <w:kern w:val="0"/>
          <w:szCs w:val="32"/>
        </w:rPr>
        <w:t>二、分类采购</w:t>
      </w:r>
    </w:p>
    <w:p>
      <w:pPr>
        <w:ind w:firstLine="31680" w:firstLineChars="200"/>
        <w:rPr>
          <w:rFonts w:ascii="宋体" w:hAnsi="宋体" w:eastAsia="宋体" w:cs="宋体"/>
          <w:kern w:val="0"/>
        </w:rPr>
      </w:pPr>
      <w:r>
        <w:rPr>
          <w:rFonts w:hint="eastAsia" w:ascii="宋体" w:hAnsi="宋体" w:cs="宋体"/>
          <w:kern w:val="0"/>
        </w:rPr>
        <w:t>对麻醉药品、精神药品、防治传染病和寄生虫病的免费用药、国家免疫规划疫苗、计划生育药品、医疗用毒性药品、放射性药品、中药饮片按国家和我省有关规定执行，其他药品采取定点生产、价格谈判、集中挂网和公开招标采购等方式，实行分类采购。</w:t>
      </w:r>
    </w:p>
    <w:p>
      <w:pPr>
        <w:ind w:firstLine="31680" w:firstLineChars="200"/>
        <w:rPr>
          <w:rFonts w:ascii="宋体" w:hAnsi="宋体" w:eastAsia="宋体" w:cs="宋体"/>
          <w:kern w:val="0"/>
        </w:rPr>
      </w:pPr>
      <w:r>
        <w:rPr>
          <w:rFonts w:hint="eastAsia" w:ascii="宋体" w:hAnsi="宋体" w:eastAsia="楷体_GB2312" w:cs="宋体"/>
          <w:kern w:val="0"/>
        </w:rPr>
        <w:t>（一）定点生产采购</w:t>
      </w:r>
      <w:r>
        <w:rPr>
          <w:rFonts w:hint="eastAsia" w:ascii="宋体" w:hAnsi="宋体" w:cs="宋体"/>
          <w:kern w:val="0"/>
        </w:rPr>
        <w:t>。按照国家和我省公布的定点生产药品目录、价格直接挂网，医疗机构不再议价。</w:t>
      </w:r>
    </w:p>
    <w:p>
      <w:pPr>
        <w:spacing w:line="360" w:lineRule="auto"/>
        <w:ind w:firstLine="31680" w:firstLineChars="196"/>
        <w:rPr>
          <w:rFonts w:ascii="宋体" w:eastAsia="宋体" w:cs="宋体"/>
          <w:kern w:val="0"/>
        </w:rPr>
      </w:pPr>
      <w:r>
        <w:rPr>
          <w:rFonts w:hint="eastAsia" w:ascii="宋体" w:hAnsi="宋体" w:eastAsia="楷体_GB2312" w:cs="宋体"/>
          <w:kern w:val="0"/>
        </w:rPr>
        <w:t>（二）价格谈判采购。</w:t>
      </w:r>
      <w:r>
        <w:rPr>
          <w:rFonts w:hint="eastAsia" w:ascii="宋体" w:hAnsi="宋体" w:cs="宋体"/>
          <w:kern w:val="0"/>
        </w:rPr>
        <w:t>国家和省级谈判的药品，按谈判结果直接挂网，不再议价。暂未列入谈判采购的专利和独家药品，继续采取其他方式采购，谈判结果公布后，执行谈判结果。</w:t>
      </w:r>
    </w:p>
    <w:p>
      <w:pPr>
        <w:ind w:firstLine="31680" w:firstLineChars="200"/>
        <w:rPr>
          <w:rFonts w:ascii="宋体" w:eastAsia="宋体" w:cs="宋体"/>
          <w:kern w:val="0"/>
        </w:rPr>
      </w:pPr>
      <w:r>
        <w:rPr>
          <w:rFonts w:hint="eastAsia" w:ascii="宋体" w:hAnsi="宋体" w:eastAsia="楷体_GB2312" w:cs="宋体"/>
          <w:kern w:val="0"/>
        </w:rPr>
        <w:t>（三）集中挂网采购。</w:t>
      </w:r>
      <w:r>
        <w:rPr>
          <w:rFonts w:hint="eastAsia" w:ascii="宋体" w:hAnsi="宋体" w:cs="宋体"/>
          <w:kern w:val="0"/>
        </w:rPr>
        <w:t>国家卫生计生委委托中华医学会、中华中医药学会等组织发布的妇产科、儿科非专利药品和急（抢）救药品直接挂网采购示范药品；</w:t>
      </w:r>
      <w:r>
        <w:rPr>
          <w:rFonts w:hint="eastAsia" w:ascii="宋体" w:hAnsi="宋体" w:cs="宋体"/>
          <w:kern w:val="0"/>
          <w:szCs w:val="32"/>
        </w:rPr>
        <w:t>《国家发展改革委定价范围内的低价药品清单》和省物价局《山东省低价药品清单》公布的药品（包含该剂型下所有产品）；</w:t>
      </w:r>
      <w:r>
        <w:rPr>
          <w:rFonts w:hint="eastAsia" w:ascii="宋体" w:hAnsi="宋体" w:cs="宋体"/>
          <w:kern w:val="0"/>
        </w:rPr>
        <w:t>基础输液；临床用量小的药品。医疗机构作为采购主体，通过省药采平台直接与挂网生产经营企业议定成交。</w:t>
      </w:r>
    </w:p>
    <w:p>
      <w:pPr>
        <w:ind w:firstLine="31680" w:firstLineChars="200"/>
        <w:rPr>
          <w:rFonts w:ascii="宋体" w:hAnsi="宋体" w:eastAsia="楷体_GB2312"/>
        </w:rPr>
      </w:pPr>
      <w:r>
        <w:rPr>
          <w:rFonts w:hint="eastAsia" w:ascii="宋体" w:hAnsi="宋体" w:eastAsia="楷体_GB2312"/>
        </w:rPr>
        <w:t>（四）公开招标采购。</w:t>
      </w:r>
      <w:r>
        <w:rPr>
          <w:rFonts w:hint="eastAsia" w:ascii="宋体" w:hAnsi="宋体" w:cs="宋体"/>
          <w:kern w:val="0"/>
        </w:rPr>
        <w:t>除定点生产采购药品，价格谈判采购药品，妇产科、儿科非专利药品，急（抢）救药品，低价药品，基础输液外，按照</w:t>
      </w:r>
      <w:r>
        <w:rPr>
          <w:rFonts w:ascii="宋体" w:hAnsi="宋体" w:cs="宋体"/>
          <w:kern w:val="0"/>
        </w:rPr>
        <w:t>2014</w:t>
      </w:r>
      <w:r>
        <w:rPr>
          <w:rFonts w:hint="eastAsia" w:ascii="宋体" w:hAnsi="宋体" w:cs="宋体"/>
          <w:kern w:val="0"/>
        </w:rPr>
        <w:t>年</w:t>
      </w:r>
      <w:r>
        <w:rPr>
          <w:rFonts w:ascii="宋体" w:hAnsi="宋体" w:cs="宋体"/>
          <w:kern w:val="0"/>
        </w:rPr>
        <w:t>6</w:t>
      </w:r>
      <w:r>
        <w:rPr>
          <w:rFonts w:hint="eastAsia" w:ascii="宋体" w:hAnsi="宋体" w:cs="宋体"/>
          <w:kern w:val="0"/>
        </w:rPr>
        <w:t>月</w:t>
      </w:r>
      <w:r>
        <w:rPr>
          <w:rFonts w:ascii="宋体" w:hAnsi="宋体" w:cs="宋体"/>
          <w:kern w:val="0"/>
        </w:rPr>
        <w:t>1</w:t>
      </w:r>
      <w:r>
        <w:rPr>
          <w:rFonts w:hint="eastAsia" w:ascii="宋体" w:hAnsi="宋体" w:cs="宋体"/>
          <w:kern w:val="0"/>
        </w:rPr>
        <w:t>日至</w:t>
      </w:r>
      <w:r>
        <w:rPr>
          <w:rFonts w:ascii="宋体" w:hAnsi="宋体" w:cs="宋体"/>
          <w:kern w:val="0"/>
        </w:rPr>
        <w:t>2015</w:t>
      </w:r>
      <w:r>
        <w:rPr>
          <w:rFonts w:hint="eastAsia" w:ascii="宋体" w:hAnsi="宋体" w:cs="宋体"/>
          <w:kern w:val="0"/>
        </w:rPr>
        <w:t>年</w:t>
      </w:r>
      <w:r>
        <w:rPr>
          <w:rFonts w:ascii="宋体" w:hAnsi="宋体" w:cs="宋体"/>
          <w:kern w:val="0"/>
        </w:rPr>
        <w:t>5</w:t>
      </w:r>
      <w:r>
        <w:rPr>
          <w:rFonts w:hint="eastAsia" w:ascii="宋体" w:hAnsi="宋体" w:cs="宋体"/>
          <w:kern w:val="0"/>
        </w:rPr>
        <w:t>月</w:t>
      </w:r>
      <w:r>
        <w:rPr>
          <w:rFonts w:ascii="宋体" w:hAnsi="宋体" w:cs="宋体"/>
          <w:kern w:val="0"/>
        </w:rPr>
        <w:t>31</w:t>
      </w:r>
      <w:r>
        <w:rPr>
          <w:rFonts w:hint="eastAsia" w:ascii="宋体" w:hAnsi="宋体" w:cs="宋体"/>
          <w:kern w:val="0"/>
        </w:rPr>
        <w:t>日全省医疗机构各类药品品规网上采购金额排序，占比从高到低累计不低于</w:t>
      </w:r>
      <w:r>
        <w:rPr>
          <w:rFonts w:ascii="宋体" w:hAnsi="宋体" w:cs="宋体"/>
          <w:kern w:val="0"/>
        </w:rPr>
        <w:t>80%</w:t>
      </w:r>
      <w:r>
        <w:rPr>
          <w:rFonts w:hint="eastAsia" w:ascii="宋体" w:hAnsi="宋体" w:cs="宋体"/>
          <w:kern w:val="0"/>
        </w:rPr>
        <w:t>的药品，纳入公开招标采购；剩余药品中，属于基本药物（含山东省增补基本药物，下同）、山东省县级公立医院综合改革试点医院常用药品（以下简称“常用药品”）集中采购目录范围的药品，一并纳入公开招标采购。</w:t>
      </w:r>
      <w:r>
        <w:rPr>
          <w:rFonts w:hint="eastAsia" w:ascii="宋体" w:hAnsi="宋体"/>
        </w:rPr>
        <w:t>医疗机构按中标结果通过省药采平台采购。</w:t>
      </w:r>
    </w:p>
    <w:p>
      <w:pPr>
        <w:ind w:firstLine="31680" w:firstLineChars="200"/>
        <w:rPr>
          <w:rFonts w:ascii="宋体" w:hAnsi="宋体" w:eastAsia="宋体"/>
        </w:rPr>
      </w:pPr>
      <w:r>
        <w:rPr>
          <w:rFonts w:hint="eastAsia" w:ascii="宋体" w:hAnsi="宋体"/>
        </w:rPr>
        <w:t>对采购周期内新批准上市的药品，根据疾病防治需要，在经过药物经济学和循证医学评价后，可另行组织集中采购，具体办法另行制定。</w:t>
      </w:r>
    </w:p>
    <w:p>
      <w:pPr>
        <w:widowControl/>
        <w:spacing w:after="100" w:afterAutospacing="1"/>
        <w:jc w:val="center"/>
        <w:rPr>
          <w:rFonts w:ascii="宋体" w:hAnsi="宋体" w:eastAsia="黑体" w:cs="宋体"/>
          <w:kern w:val="0"/>
          <w:sz w:val="36"/>
          <w:szCs w:val="36"/>
        </w:rPr>
      </w:pPr>
    </w:p>
    <w:p>
      <w:pPr>
        <w:widowControl/>
        <w:spacing w:after="100" w:afterAutospacing="1"/>
        <w:jc w:val="center"/>
        <w:rPr>
          <w:rFonts w:ascii="宋体" w:hAnsi="宋体" w:eastAsia="黑体" w:cs="宋体"/>
          <w:kern w:val="0"/>
          <w:sz w:val="36"/>
          <w:szCs w:val="36"/>
        </w:rPr>
      </w:pPr>
      <w:r>
        <w:rPr>
          <w:rFonts w:hint="eastAsia" w:ascii="宋体" w:hAnsi="宋体" w:eastAsia="黑体" w:cs="宋体"/>
          <w:kern w:val="0"/>
          <w:sz w:val="36"/>
          <w:szCs w:val="36"/>
        </w:rPr>
        <w:t>第三部分</w:t>
      </w:r>
      <w:r>
        <w:rPr>
          <w:rFonts w:ascii="宋体" w:hAnsi="宋体" w:eastAsia="黑体" w:cs="宋体"/>
          <w:kern w:val="0"/>
          <w:sz w:val="36"/>
          <w:szCs w:val="36"/>
        </w:rPr>
        <w:t xml:space="preserve">  </w:t>
      </w:r>
      <w:r>
        <w:rPr>
          <w:rFonts w:hint="eastAsia" w:ascii="宋体" w:hAnsi="宋体" w:eastAsia="黑体" w:cs="宋体"/>
          <w:kern w:val="0"/>
          <w:sz w:val="36"/>
          <w:szCs w:val="36"/>
        </w:rPr>
        <w:t>资质证明文件申报和审核</w:t>
      </w:r>
    </w:p>
    <w:p>
      <w:pPr>
        <w:ind w:firstLine="31680" w:firstLineChars="200"/>
        <w:rPr>
          <w:rFonts w:ascii="宋体" w:hAnsi="宋体" w:eastAsia="楷体" w:cs="宋体"/>
          <w:kern w:val="0"/>
          <w:szCs w:val="32"/>
        </w:rPr>
      </w:pPr>
      <w:r>
        <w:rPr>
          <w:rFonts w:hint="eastAsia" w:ascii="宋体" w:hAnsi="宋体" w:eastAsia="黑体" w:cs="黑体"/>
          <w:kern w:val="0"/>
          <w:szCs w:val="32"/>
        </w:rPr>
        <w:t>一、企业报名条件</w:t>
      </w:r>
    </w:p>
    <w:p>
      <w:pPr>
        <w:widowControl/>
        <w:ind w:firstLine="31680" w:firstLineChars="200"/>
        <w:rPr>
          <w:rFonts w:ascii="宋体" w:eastAsia="宋体" w:cs="宋体"/>
          <w:kern w:val="0"/>
          <w:szCs w:val="32"/>
        </w:rPr>
      </w:pPr>
      <w:r>
        <w:rPr>
          <w:rFonts w:hint="eastAsia" w:ascii="宋体" w:hAnsi="宋体" w:cs="宋体"/>
          <w:kern w:val="0"/>
          <w:szCs w:val="32"/>
        </w:rPr>
        <w:t>（一）本次药品集中采购由药品生产企业直接投标。药品生产企业设立的仅销售本公司产品的商业公司、境外产品国内总代理可视同生产企业，须提供代理协议书或药品生产企业出具的授权委托书等资质证书。不设总代理的，只接受一家一级代理商的报名，该代理商代理的区域，必须覆盖全省。集团公司所属全资及控股子公司的产品参加投标的，允许以集团公司名义投标，并提供相应证明材料。</w:t>
      </w:r>
    </w:p>
    <w:p>
      <w:pPr>
        <w:widowControl/>
        <w:ind w:firstLine="31680" w:firstLineChars="200"/>
        <w:rPr>
          <w:rFonts w:ascii="宋体" w:eastAsia="宋体" w:cs="宋体"/>
          <w:kern w:val="0"/>
          <w:szCs w:val="32"/>
        </w:rPr>
      </w:pPr>
      <w:r>
        <w:rPr>
          <w:rFonts w:hint="eastAsia" w:ascii="宋体" w:hAnsi="宋体" w:cs="宋体"/>
          <w:kern w:val="0"/>
          <w:szCs w:val="32"/>
        </w:rPr>
        <w:t>（二）信誉良好，具有履行合同必须具备的药品供应保障能力。</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（三）三年内，在经营活动中无重大违法记录的。</w:t>
      </w:r>
    </w:p>
    <w:p>
      <w:pPr>
        <w:ind w:firstLine="31680" w:firstLineChars="200"/>
        <w:jc w:val="left"/>
        <w:rPr>
          <w:rFonts w:ascii="宋体" w:eastAsia="宋体" w:cs="宋体"/>
          <w:kern w:val="0"/>
          <w:szCs w:val="32"/>
        </w:rPr>
      </w:pPr>
      <w:r>
        <w:rPr>
          <w:rFonts w:hint="eastAsia" w:ascii="宋体" w:hAnsi="宋体" w:cs="宋体"/>
          <w:kern w:val="0"/>
          <w:szCs w:val="32"/>
        </w:rPr>
        <w:t>（四）法律法规规定的其他条件。</w:t>
      </w:r>
    </w:p>
    <w:p>
      <w:pPr>
        <w:autoSpaceDE w:val="0"/>
        <w:autoSpaceDN w:val="0"/>
        <w:ind w:firstLine="31680" w:firstLineChars="200"/>
        <w:outlineLvl w:val="0"/>
        <w:rPr>
          <w:rFonts w:ascii="宋体" w:eastAsia="宋体" w:cs="宋体"/>
          <w:b/>
          <w:kern w:val="0"/>
          <w:szCs w:val="32"/>
        </w:rPr>
      </w:pPr>
      <w:r>
        <w:rPr>
          <w:rFonts w:hint="eastAsia" w:ascii="宋体" w:hAnsi="宋体" w:cs="宋体"/>
          <w:b/>
          <w:kern w:val="0"/>
          <w:szCs w:val="32"/>
        </w:rPr>
        <w:t>企业有两次及以上商业贿赂不良记录的，取消该企业所有产品投标资格（以国家卫生计生委政务网站公布为依据）。</w:t>
      </w:r>
    </w:p>
    <w:p>
      <w:pPr>
        <w:widowControl/>
        <w:tabs>
          <w:tab w:val="left" w:pos="5213"/>
        </w:tabs>
        <w:ind w:firstLine="31680" w:firstLineChars="200"/>
        <w:rPr>
          <w:rFonts w:ascii="宋体" w:hAnsi="宋体" w:eastAsia="黑体" w:cs="黑体"/>
          <w:kern w:val="0"/>
          <w:szCs w:val="32"/>
        </w:rPr>
      </w:pPr>
      <w:r>
        <w:rPr>
          <w:rFonts w:hint="eastAsia" w:ascii="宋体" w:hAnsi="宋体" w:eastAsia="黑体" w:cs="黑体"/>
          <w:kern w:val="0"/>
          <w:szCs w:val="32"/>
        </w:rPr>
        <w:t>二、资质证明文件组成</w:t>
      </w:r>
    </w:p>
    <w:p>
      <w:pPr>
        <w:widowControl/>
        <w:tabs>
          <w:tab w:val="left" w:pos="5213"/>
        </w:tabs>
        <w:ind w:firstLine="31680" w:firstLineChars="200"/>
        <w:rPr>
          <w:rFonts w:ascii="宋体" w:hAnsi="宋体" w:eastAsia="楷体" w:cs="楷体"/>
          <w:kern w:val="0"/>
          <w:szCs w:val="32"/>
        </w:rPr>
      </w:pPr>
      <w:r>
        <w:rPr>
          <w:rFonts w:hint="eastAsia" w:ascii="宋体" w:hAnsi="宋体" w:eastAsia="楷体" w:cs="楷体"/>
          <w:kern w:val="0"/>
          <w:szCs w:val="32"/>
        </w:rPr>
        <w:t>（一）企业资质证明文件</w:t>
      </w:r>
    </w:p>
    <w:p>
      <w:pPr>
        <w:widowControl/>
        <w:ind w:firstLine="31680" w:firstLineChars="200"/>
        <w:rPr>
          <w:rFonts w:ascii="宋体" w:eastAsia="宋体" w:cs="仿宋_GB2312"/>
          <w:kern w:val="0"/>
          <w:szCs w:val="32"/>
        </w:rPr>
      </w:pPr>
      <w:r>
        <w:rPr>
          <w:rFonts w:ascii="宋体" w:hAnsi="宋体" w:cs="仿宋_GB2312"/>
          <w:kern w:val="0"/>
          <w:szCs w:val="32"/>
        </w:rPr>
        <w:t>1</w:t>
      </w:r>
      <w:r>
        <w:rPr>
          <w:rFonts w:hint="eastAsia" w:ascii="宋体" w:hAnsi="宋体" w:cs="仿宋_GB2312"/>
          <w:kern w:val="0"/>
          <w:szCs w:val="32"/>
        </w:rPr>
        <w:t>、</w:t>
      </w:r>
      <w:r>
        <w:rPr>
          <w:rFonts w:hint="eastAsia" w:ascii="宋体" w:hAnsi="宋体" w:cs="仿宋_GB2312"/>
          <w:szCs w:val="32"/>
        </w:rPr>
        <w:t>企业法人营业执照</w:t>
      </w:r>
      <w:r>
        <w:rPr>
          <w:rFonts w:ascii="宋体" w:hAnsi="宋体" w:cs="仿宋_GB2312"/>
          <w:kern w:val="0"/>
          <w:szCs w:val="32"/>
        </w:rPr>
        <w:t>(</w:t>
      </w:r>
      <w:r>
        <w:rPr>
          <w:rFonts w:hint="eastAsia" w:ascii="宋体" w:hAnsi="宋体" w:cs="仿宋_GB2312"/>
          <w:kern w:val="0"/>
          <w:szCs w:val="32"/>
        </w:rPr>
        <w:t>副本</w:t>
      </w:r>
      <w:r>
        <w:rPr>
          <w:rFonts w:ascii="宋体" w:hAnsi="宋体" w:cs="仿宋_GB2312"/>
          <w:kern w:val="0"/>
          <w:szCs w:val="32"/>
        </w:rPr>
        <w:t>)</w:t>
      </w:r>
      <w:r>
        <w:rPr>
          <w:rFonts w:hint="eastAsia" w:ascii="宋体" w:hAnsi="宋体" w:cs="仿宋_GB2312"/>
          <w:kern w:val="0"/>
          <w:szCs w:val="32"/>
        </w:rPr>
        <w:t>。</w:t>
      </w:r>
    </w:p>
    <w:p>
      <w:pPr>
        <w:autoSpaceDE w:val="0"/>
        <w:autoSpaceDN w:val="0"/>
        <w:ind w:firstLine="31680" w:firstLineChars="200"/>
        <w:outlineLvl w:val="0"/>
        <w:rPr>
          <w:rFonts w:ascii="宋体" w:eastAsia="宋体" w:cs="仿宋_GB2312"/>
          <w:kern w:val="0"/>
          <w:szCs w:val="32"/>
        </w:rPr>
      </w:pPr>
      <w:r>
        <w:rPr>
          <w:rFonts w:ascii="宋体" w:hAnsi="宋体" w:cs="仿宋_GB2312"/>
          <w:kern w:val="0"/>
          <w:szCs w:val="32"/>
        </w:rPr>
        <w:t>2</w:t>
      </w:r>
      <w:r>
        <w:rPr>
          <w:rFonts w:hint="eastAsia" w:ascii="宋体" w:hAnsi="宋体" w:cs="仿宋_GB2312"/>
          <w:kern w:val="0"/>
          <w:szCs w:val="32"/>
        </w:rPr>
        <w:t>、药品生产许可证</w:t>
      </w:r>
      <w:r>
        <w:rPr>
          <w:rFonts w:ascii="宋体" w:hAnsi="宋体" w:cs="仿宋_GB2312"/>
          <w:kern w:val="0"/>
          <w:szCs w:val="32"/>
        </w:rPr>
        <w:t>(</w:t>
      </w:r>
      <w:r>
        <w:rPr>
          <w:rFonts w:hint="eastAsia" w:ascii="宋体" w:hAnsi="宋体" w:cs="仿宋_GB2312"/>
          <w:kern w:val="0"/>
          <w:szCs w:val="32"/>
        </w:rPr>
        <w:t>商业公司和境外产品国内总代理提供药品经营许可证、</w:t>
      </w:r>
      <w:r>
        <w:rPr>
          <w:rFonts w:ascii="宋体" w:hAnsi="宋体" w:cs="仿宋_GB2312"/>
          <w:kern w:val="0"/>
          <w:szCs w:val="32"/>
        </w:rPr>
        <w:t>GSP</w:t>
      </w:r>
      <w:r>
        <w:rPr>
          <w:rFonts w:hint="eastAsia" w:ascii="宋体" w:hAnsi="宋体" w:cs="仿宋_GB2312"/>
          <w:kern w:val="0"/>
          <w:szCs w:val="32"/>
        </w:rPr>
        <w:t>证书</w:t>
      </w:r>
      <w:r>
        <w:rPr>
          <w:rFonts w:ascii="宋体" w:hAnsi="宋体" w:cs="仿宋_GB2312"/>
          <w:kern w:val="0"/>
          <w:szCs w:val="32"/>
        </w:rPr>
        <w:t>)</w:t>
      </w:r>
      <w:r>
        <w:rPr>
          <w:rFonts w:hint="eastAsia" w:ascii="宋体" w:hAnsi="宋体" w:cs="仿宋_GB2312"/>
          <w:kern w:val="0"/>
          <w:szCs w:val="32"/>
        </w:rPr>
        <w:t>。</w:t>
      </w:r>
    </w:p>
    <w:p>
      <w:pPr>
        <w:widowControl/>
        <w:ind w:firstLine="31680" w:firstLineChars="200"/>
        <w:rPr>
          <w:rFonts w:ascii="宋体" w:eastAsia="宋体" w:cs="仿宋_GB2312"/>
          <w:kern w:val="0"/>
          <w:szCs w:val="32"/>
        </w:rPr>
      </w:pPr>
      <w:r>
        <w:rPr>
          <w:rFonts w:ascii="宋体" w:hAnsi="宋体" w:cs="仿宋_GB2312"/>
          <w:kern w:val="0"/>
          <w:szCs w:val="32"/>
        </w:rPr>
        <w:t>3</w:t>
      </w:r>
      <w:r>
        <w:rPr>
          <w:rFonts w:hint="eastAsia" w:ascii="宋体" w:hAnsi="宋体" w:cs="仿宋_GB2312"/>
          <w:kern w:val="0"/>
          <w:szCs w:val="32"/>
        </w:rPr>
        <w:t>、</w:t>
      </w:r>
      <w:r>
        <w:rPr>
          <w:rFonts w:hint="eastAsia" w:ascii="宋体" w:hAnsi="宋体" w:cs="仿宋_GB2312"/>
          <w:szCs w:val="32"/>
        </w:rPr>
        <w:t>组织机构代码证</w:t>
      </w:r>
      <w:r>
        <w:rPr>
          <w:rFonts w:hint="eastAsia" w:ascii="宋体" w:hAnsi="宋体" w:cs="仿宋_GB2312"/>
          <w:kern w:val="0"/>
          <w:szCs w:val="32"/>
        </w:rPr>
        <w:t>。</w:t>
      </w:r>
    </w:p>
    <w:p>
      <w:pPr>
        <w:widowControl/>
        <w:ind w:firstLine="31680" w:firstLineChars="200"/>
        <w:rPr>
          <w:rFonts w:ascii="宋体" w:eastAsia="宋体" w:cs="仿宋_GB2312"/>
          <w:kern w:val="0"/>
          <w:szCs w:val="32"/>
        </w:rPr>
      </w:pPr>
      <w:r>
        <w:rPr>
          <w:rFonts w:ascii="宋体" w:hAnsi="宋体" w:cs="仿宋_GB2312"/>
          <w:kern w:val="0"/>
          <w:szCs w:val="32"/>
        </w:rPr>
        <w:t>4</w:t>
      </w:r>
      <w:r>
        <w:rPr>
          <w:rFonts w:hint="eastAsia" w:ascii="宋体" w:hAnsi="宋体" w:cs="仿宋_GB2312"/>
          <w:kern w:val="0"/>
          <w:szCs w:val="32"/>
        </w:rPr>
        <w:t>、</w:t>
      </w:r>
      <w:r>
        <w:rPr>
          <w:rFonts w:hint="eastAsia" w:ascii="宋体" w:hAnsi="宋体" w:cs="仿宋_GB2312"/>
          <w:spacing w:val="-8"/>
          <w:kern w:val="0"/>
          <w:szCs w:val="32"/>
        </w:rPr>
        <w:t>生产企业</w:t>
      </w:r>
      <w:r>
        <w:rPr>
          <w:rFonts w:ascii="宋体" w:hAnsi="宋体" w:cs="仿宋_GB2312"/>
          <w:spacing w:val="-8"/>
          <w:kern w:val="0"/>
          <w:szCs w:val="32"/>
        </w:rPr>
        <w:t>2014</w:t>
      </w:r>
      <w:r>
        <w:rPr>
          <w:rFonts w:hint="eastAsia" w:ascii="宋体" w:hAnsi="宋体" w:cs="仿宋_GB2312"/>
          <w:spacing w:val="-8"/>
          <w:kern w:val="0"/>
          <w:szCs w:val="32"/>
        </w:rPr>
        <w:t>年度增值税纳税报表</w:t>
      </w:r>
      <w:r>
        <w:rPr>
          <w:rFonts w:ascii="宋体" w:hAnsi="宋体" w:cs="仿宋_GB2312"/>
          <w:spacing w:val="-8"/>
          <w:kern w:val="0"/>
          <w:szCs w:val="32"/>
        </w:rPr>
        <w:t>(</w:t>
      </w:r>
      <w:r>
        <w:rPr>
          <w:rFonts w:hint="eastAsia" w:ascii="宋体" w:hAnsi="宋体" w:cs="仿宋_GB2312"/>
          <w:spacing w:val="-8"/>
          <w:kern w:val="0"/>
          <w:szCs w:val="32"/>
        </w:rPr>
        <w:t>能体现全年销售额、</w:t>
      </w:r>
      <w:r>
        <w:rPr>
          <w:rFonts w:hint="eastAsia" w:ascii="宋体" w:hAnsi="宋体" w:cs="仿宋_GB2312"/>
          <w:kern w:val="0"/>
          <w:szCs w:val="32"/>
        </w:rPr>
        <w:t>税务稽核章</w:t>
      </w:r>
      <w:r>
        <w:rPr>
          <w:rFonts w:ascii="宋体" w:hAnsi="宋体" w:cs="仿宋_GB2312"/>
          <w:kern w:val="0"/>
          <w:szCs w:val="32"/>
        </w:rPr>
        <w:t>)</w:t>
      </w:r>
      <w:r>
        <w:rPr>
          <w:rFonts w:hint="eastAsia" w:ascii="宋体" w:hAnsi="宋体" w:cs="仿宋_GB2312"/>
          <w:kern w:val="0"/>
          <w:szCs w:val="32"/>
        </w:rPr>
        <w:t>，年销售额在</w:t>
      </w:r>
      <w:r>
        <w:rPr>
          <w:rFonts w:ascii="宋体" w:hAnsi="宋体" w:cs="仿宋_GB2312"/>
          <w:kern w:val="0"/>
          <w:szCs w:val="32"/>
        </w:rPr>
        <w:t>1</w:t>
      </w:r>
      <w:r>
        <w:rPr>
          <w:rFonts w:hint="eastAsia" w:ascii="宋体" w:hAnsi="宋体" w:cs="仿宋_GB2312"/>
          <w:kern w:val="0"/>
          <w:szCs w:val="32"/>
        </w:rPr>
        <w:t>亿元以下的企业无需提供。</w:t>
      </w:r>
    </w:p>
    <w:p>
      <w:pPr>
        <w:autoSpaceDE w:val="0"/>
        <w:autoSpaceDN w:val="0"/>
        <w:ind w:firstLine="31680" w:firstLineChars="200"/>
        <w:outlineLvl w:val="0"/>
        <w:rPr>
          <w:rFonts w:ascii="宋体" w:eastAsia="宋体" w:cs="仿宋_GB2312"/>
          <w:kern w:val="0"/>
          <w:szCs w:val="32"/>
        </w:rPr>
      </w:pPr>
      <w:r>
        <w:rPr>
          <w:rFonts w:ascii="宋体" w:hAnsi="宋体" w:cs="仿宋_GB2312"/>
          <w:kern w:val="0"/>
          <w:szCs w:val="32"/>
        </w:rPr>
        <w:t>5</w:t>
      </w:r>
      <w:r>
        <w:rPr>
          <w:rFonts w:hint="eastAsia" w:ascii="宋体" w:hAnsi="宋体" w:cs="仿宋_GB2312"/>
          <w:kern w:val="0"/>
          <w:szCs w:val="32"/>
        </w:rPr>
        <w:t>、法定代表人授权书。</w:t>
      </w:r>
    </w:p>
    <w:p>
      <w:pPr>
        <w:autoSpaceDE w:val="0"/>
        <w:autoSpaceDN w:val="0"/>
        <w:ind w:firstLine="31680" w:firstLineChars="200"/>
        <w:outlineLvl w:val="0"/>
        <w:rPr>
          <w:rFonts w:ascii="宋体" w:eastAsia="宋体" w:cs="仿宋_GB2312"/>
          <w:kern w:val="0"/>
          <w:szCs w:val="32"/>
        </w:rPr>
      </w:pPr>
      <w:r>
        <w:rPr>
          <w:rFonts w:ascii="宋体" w:hAnsi="宋体" w:cs="仿宋_GB2312"/>
          <w:kern w:val="0"/>
          <w:szCs w:val="32"/>
        </w:rPr>
        <w:t>6</w:t>
      </w:r>
      <w:r>
        <w:rPr>
          <w:rFonts w:hint="eastAsia" w:ascii="宋体" w:hAnsi="宋体" w:cs="仿宋_GB2312"/>
          <w:kern w:val="0"/>
          <w:szCs w:val="32"/>
        </w:rPr>
        <w:t>、申报承诺书。</w:t>
      </w:r>
    </w:p>
    <w:p>
      <w:pPr>
        <w:autoSpaceDE w:val="0"/>
        <w:autoSpaceDN w:val="0"/>
        <w:ind w:firstLine="31680" w:firstLineChars="200"/>
        <w:outlineLvl w:val="0"/>
        <w:rPr>
          <w:rFonts w:ascii="宋体" w:eastAsia="宋体" w:cs="宋体"/>
          <w:kern w:val="0"/>
          <w:szCs w:val="32"/>
        </w:rPr>
      </w:pPr>
      <w:r>
        <w:rPr>
          <w:rFonts w:ascii="宋体" w:hAnsi="宋体" w:cs="仿宋_GB2312"/>
          <w:kern w:val="0"/>
          <w:szCs w:val="32"/>
        </w:rPr>
        <w:t>7</w:t>
      </w:r>
      <w:r>
        <w:rPr>
          <w:rFonts w:hint="eastAsia" w:ascii="宋体" w:hAnsi="宋体" w:cs="仿宋_GB2312"/>
          <w:kern w:val="0"/>
          <w:szCs w:val="32"/>
        </w:rPr>
        <w:t>、其他相关文件材料。</w:t>
      </w:r>
    </w:p>
    <w:p>
      <w:pPr>
        <w:widowControl/>
        <w:tabs>
          <w:tab w:val="left" w:pos="5213"/>
        </w:tabs>
        <w:ind w:firstLine="31680" w:firstLineChars="200"/>
        <w:rPr>
          <w:rFonts w:ascii="宋体" w:hAnsi="宋体" w:eastAsia="楷体" w:cs="楷体"/>
          <w:kern w:val="0"/>
          <w:szCs w:val="32"/>
        </w:rPr>
      </w:pPr>
      <w:r>
        <w:rPr>
          <w:rFonts w:hint="eastAsia" w:ascii="宋体" w:hAnsi="宋体" w:eastAsia="楷体" w:cs="楷体"/>
          <w:kern w:val="0"/>
          <w:szCs w:val="32"/>
        </w:rPr>
        <w:t>（二）产品资质证明文件</w:t>
      </w:r>
    </w:p>
    <w:p>
      <w:pPr>
        <w:widowControl/>
        <w:ind w:firstLine="31680" w:firstLineChars="200"/>
        <w:rPr>
          <w:rFonts w:ascii="宋体" w:eastAsia="宋体" w:cs="宋体"/>
          <w:kern w:val="0"/>
          <w:szCs w:val="32"/>
        </w:rPr>
      </w:pPr>
      <w:r>
        <w:rPr>
          <w:rFonts w:ascii="宋体" w:hAnsi="宋体" w:cs="宋体"/>
          <w:kern w:val="0"/>
          <w:szCs w:val="32"/>
        </w:rPr>
        <w:t>1</w:t>
      </w:r>
      <w:r>
        <w:rPr>
          <w:rFonts w:hint="eastAsia" w:ascii="宋体" w:hAnsi="宋体" w:cs="宋体"/>
          <w:kern w:val="0"/>
          <w:szCs w:val="32"/>
        </w:rPr>
        <w:t>、药品注册批件</w:t>
      </w:r>
      <w:r>
        <w:rPr>
          <w:rFonts w:ascii="宋体" w:hAnsi="宋体" w:cs="宋体"/>
          <w:kern w:val="0"/>
          <w:szCs w:val="32"/>
        </w:rPr>
        <w:t>(</w:t>
      </w:r>
      <w:r>
        <w:rPr>
          <w:rFonts w:hint="eastAsia" w:ascii="宋体" w:hAnsi="宋体" w:cs="宋体"/>
          <w:kern w:val="0"/>
          <w:szCs w:val="32"/>
        </w:rPr>
        <w:t>境外产品提供“进口药品注册证”或“医药产品注册证”</w:t>
      </w:r>
      <w:r>
        <w:rPr>
          <w:rFonts w:ascii="宋体" w:hAnsi="宋体" w:cs="宋体"/>
          <w:kern w:val="0"/>
          <w:szCs w:val="32"/>
        </w:rPr>
        <w:t>)</w:t>
      </w:r>
      <w:r>
        <w:rPr>
          <w:rFonts w:hint="eastAsia" w:ascii="宋体" w:hAnsi="宋体" w:cs="宋体"/>
          <w:kern w:val="0"/>
          <w:szCs w:val="32"/>
        </w:rPr>
        <w:t>。</w:t>
      </w:r>
    </w:p>
    <w:p>
      <w:pPr>
        <w:tabs>
          <w:tab w:val="left" w:pos="2625"/>
        </w:tabs>
        <w:ind w:firstLine="31680" w:firstLineChars="200"/>
        <w:rPr>
          <w:rFonts w:ascii="宋体" w:eastAsia="宋体" w:cs="宋体"/>
          <w:b/>
          <w:color w:val="FF0000"/>
          <w:kern w:val="0"/>
          <w:szCs w:val="32"/>
        </w:rPr>
      </w:pPr>
      <w:r>
        <w:rPr>
          <w:rFonts w:ascii="宋体" w:hAnsi="宋体" w:cs="宋体"/>
          <w:kern w:val="0"/>
          <w:szCs w:val="32"/>
        </w:rPr>
        <w:t>2</w:t>
      </w:r>
      <w:r>
        <w:rPr>
          <w:rFonts w:hint="eastAsia" w:ascii="宋体" w:hAnsi="宋体" w:cs="宋体"/>
          <w:kern w:val="0"/>
          <w:szCs w:val="32"/>
        </w:rPr>
        <w:t>、药品</w:t>
      </w:r>
      <w:r>
        <w:rPr>
          <w:rFonts w:ascii="宋体" w:hAnsi="宋体" w:cs="宋体"/>
          <w:kern w:val="0"/>
          <w:szCs w:val="32"/>
        </w:rPr>
        <w:t>GMP</w:t>
      </w:r>
      <w:r>
        <w:rPr>
          <w:rFonts w:hint="eastAsia" w:ascii="宋体" w:hAnsi="宋体" w:cs="宋体"/>
          <w:kern w:val="0"/>
          <w:szCs w:val="32"/>
        </w:rPr>
        <w:t>证书。</w:t>
      </w:r>
    </w:p>
    <w:p>
      <w:pPr>
        <w:autoSpaceDE w:val="0"/>
        <w:autoSpaceDN w:val="0"/>
        <w:ind w:firstLine="31680" w:firstLineChars="200"/>
        <w:outlineLvl w:val="0"/>
        <w:rPr>
          <w:rFonts w:ascii="宋体" w:eastAsia="宋体" w:cs="宋体"/>
          <w:kern w:val="0"/>
          <w:szCs w:val="32"/>
        </w:rPr>
      </w:pPr>
      <w:r>
        <w:rPr>
          <w:rFonts w:ascii="宋体" w:hAnsi="宋体" w:cs="宋体"/>
          <w:kern w:val="0"/>
          <w:szCs w:val="32"/>
        </w:rPr>
        <w:t>3</w:t>
      </w:r>
      <w:r>
        <w:rPr>
          <w:rFonts w:hint="eastAsia" w:ascii="宋体" w:hAnsi="宋体" w:cs="宋体"/>
          <w:kern w:val="0"/>
          <w:szCs w:val="32"/>
        </w:rPr>
        <w:t>、</w:t>
      </w:r>
      <w:r>
        <w:rPr>
          <w:rFonts w:ascii="宋体" w:hAnsi="宋体" w:cs="宋体"/>
          <w:kern w:val="0"/>
          <w:szCs w:val="32"/>
        </w:rPr>
        <w:t>2014</w:t>
      </w:r>
      <w:r>
        <w:rPr>
          <w:rFonts w:hint="eastAsia" w:ascii="宋体" w:hAnsi="宋体" w:cs="宋体"/>
          <w:kern w:val="0"/>
          <w:szCs w:val="32"/>
        </w:rPr>
        <w:t>年以来的药品全检报告</w:t>
      </w:r>
      <w:r>
        <w:rPr>
          <w:rFonts w:ascii="宋体" w:hAnsi="宋体" w:cs="宋体"/>
          <w:kern w:val="0"/>
          <w:szCs w:val="32"/>
        </w:rPr>
        <w:t>(</w:t>
      </w:r>
      <w:r>
        <w:rPr>
          <w:rFonts w:hint="eastAsia" w:ascii="宋体" w:hAnsi="宋体" w:cs="宋体"/>
          <w:kern w:val="0"/>
          <w:szCs w:val="32"/>
        </w:rPr>
        <w:t>境外产品提供口岸药检报告、分包装药品提供全检报告和口岸药检报告</w:t>
      </w:r>
      <w:r>
        <w:rPr>
          <w:rFonts w:ascii="宋体" w:hAnsi="宋体" w:cs="宋体"/>
          <w:kern w:val="0"/>
          <w:szCs w:val="32"/>
        </w:rPr>
        <w:t>)</w:t>
      </w:r>
      <w:r>
        <w:rPr>
          <w:rFonts w:hint="eastAsia" w:ascii="宋体" w:hAnsi="宋体" w:cs="宋体"/>
          <w:kern w:val="0"/>
          <w:szCs w:val="32"/>
        </w:rPr>
        <w:t>。</w:t>
      </w:r>
    </w:p>
    <w:p>
      <w:pPr>
        <w:autoSpaceDE w:val="0"/>
        <w:autoSpaceDN w:val="0"/>
        <w:ind w:firstLine="31680" w:firstLineChars="200"/>
        <w:outlineLvl w:val="0"/>
        <w:rPr>
          <w:rFonts w:ascii="宋体" w:eastAsia="宋体" w:cs="宋体"/>
          <w:kern w:val="0"/>
          <w:szCs w:val="32"/>
        </w:rPr>
      </w:pPr>
      <w:r>
        <w:rPr>
          <w:rFonts w:ascii="宋体" w:hAnsi="宋体" w:cs="宋体"/>
          <w:kern w:val="0"/>
          <w:szCs w:val="32"/>
        </w:rPr>
        <w:t>4</w:t>
      </w:r>
      <w:r>
        <w:rPr>
          <w:rFonts w:hint="eastAsia" w:ascii="宋体" w:hAnsi="宋体" w:cs="宋体"/>
          <w:kern w:val="0"/>
          <w:szCs w:val="32"/>
        </w:rPr>
        <w:t>、产品说明书。</w:t>
      </w:r>
    </w:p>
    <w:p>
      <w:pPr>
        <w:autoSpaceDE w:val="0"/>
        <w:autoSpaceDN w:val="0"/>
        <w:ind w:firstLine="31680" w:firstLineChars="200"/>
        <w:outlineLvl w:val="0"/>
        <w:rPr>
          <w:rFonts w:ascii="宋体" w:eastAsia="宋体" w:cs="宋体"/>
          <w:kern w:val="0"/>
          <w:szCs w:val="32"/>
        </w:rPr>
      </w:pPr>
      <w:r>
        <w:rPr>
          <w:rFonts w:ascii="宋体" w:hAnsi="宋体" w:cs="宋体"/>
          <w:kern w:val="0"/>
          <w:szCs w:val="32"/>
        </w:rPr>
        <w:t>5</w:t>
      </w:r>
      <w:r>
        <w:rPr>
          <w:rFonts w:hint="eastAsia" w:ascii="宋体" w:hAnsi="宋体" w:cs="宋体"/>
          <w:kern w:val="0"/>
          <w:szCs w:val="32"/>
        </w:rPr>
        <w:t>、药品标准。</w:t>
      </w:r>
    </w:p>
    <w:p>
      <w:pPr>
        <w:autoSpaceDE w:val="0"/>
        <w:autoSpaceDN w:val="0"/>
        <w:ind w:firstLine="31680" w:firstLineChars="200"/>
        <w:outlineLvl w:val="0"/>
        <w:rPr>
          <w:rFonts w:ascii="宋体" w:eastAsia="宋体" w:cs="宋体"/>
          <w:kern w:val="0"/>
          <w:szCs w:val="32"/>
        </w:rPr>
      </w:pPr>
      <w:r>
        <w:rPr>
          <w:rFonts w:ascii="宋体" w:hAnsi="宋体" w:cs="宋体"/>
          <w:kern w:val="0"/>
          <w:szCs w:val="32"/>
        </w:rPr>
        <w:t>6</w:t>
      </w:r>
      <w:r>
        <w:rPr>
          <w:rFonts w:hint="eastAsia" w:ascii="宋体" w:hAnsi="宋体" w:cs="宋体"/>
          <w:kern w:val="0"/>
          <w:szCs w:val="32"/>
        </w:rPr>
        <w:t>、产品报关单（境外产品）。</w:t>
      </w:r>
    </w:p>
    <w:p>
      <w:pPr>
        <w:autoSpaceDE w:val="0"/>
        <w:autoSpaceDN w:val="0"/>
        <w:ind w:firstLine="31680" w:firstLineChars="200"/>
        <w:outlineLvl w:val="0"/>
        <w:rPr>
          <w:rFonts w:ascii="宋体" w:eastAsia="宋体" w:cs="宋体"/>
          <w:kern w:val="0"/>
          <w:szCs w:val="32"/>
        </w:rPr>
      </w:pPr>
      <w:r>
        <w:rPr>
          <w:rFonts w:ascii="宋体" w:hAnsi="宋体" w:cs="宋体"/>
          <w:kern w:val="0"/>
          <w:szCs w:val="32"/>
        </w:rPr>
        <w:t>7</w:t>
      </w:r>
      <w:r>
        <w:rPr>
          <w:rFonts w:hint="eastAsia" w:ascii="宋体" w:hAnsi="宋体" w:cs="宋体"/>
          <w:kern w:val="0"/>
          <w:szCs w:val="32"/>
        </w:rPr>
        <w:t>、药品质量类型及评审指标相关证明材料。</w:t>
      </w:r>
    </w:p>
    <w:p>
      <w:pPr>
        <w:autoSpaceDE w:val="0"/>
        <w:autoSpaceDN w:val="0"/>
        <w:ind w:firstLine="31680" w:firstLineChars="200"/>
        <w:outlineLvl w:val="0"/>
        <w:rPr>
          <w:rFonts w:ascii="宋体" w:eastAsia="宋体" w:cs="宋体"/>
          <w:kern w:val="0"/>
          <w:szCs w:val="32"/>
        </w:rPr>
      </w:pPr>
      <w:r>
        <w:rPr>
          <w:rFonts w:ascii="宋体" w:hAnsi="宋体" w:cs="宋体"/>
          <w:kern w:val="0"/>
          <w:szCs w:val="32"/>
        </w:rPr>
        <w:t>8</w:t>
      </w:r>
      <w:r>
        <w:rPr>
          <w:rFonts w:hint="eastAsia" w:ascii="宋体" w:hAnsi="宋体" w:cs="宋体"/>
          <w:kern w:val="0"/>
          <w:szCs w:val="32"/>
        </w:rPr>
        <w:t>、其他相关证明材料。</w:t>
      </w:r>
    </w:p>
    <w:p>
      <w:pPr>
        <w:widowControl/>
        <w:ind w:firstLine="31680" w:firstLineChars="200"/>
        <w:rPr>
          <w:rFonts w:ascii="宋体" w:hAnsi="宋体" w:eastAsia="黑体" w:cs="黑体"/>
          <w:kern w:val="0"/>
          <w:szCs w:val="32"/>
        </w:rPr>
      </w:pPr>
      <w:r>
        <w:rPr>
          <w:rFonts w:hint="eastAsia" w:ascii="宋体" w:hAnsi="宋体" w:eastAsia="黑体" w:cs="黑体"/>
          <w:kern w:val="0"/>
          <w:szCs w:val="32"/>
        </w:rPr>
        <w:t>三、申报要求</w:t>
      </w:r>
    </w:p>
    <w:p>
      <w:pPr>
        <w:pStyle w:val="15"/>
        <w:autoSpaceDE w:val="0"/>
        <w:autoSpaceDN w:val="0"/>
        <w:ind w:firstLine="31680" w:firstLineChars="200"/>
        <w:outlineLvl w:val="0"/>
        <w:rPr>
          <w:rFonts w:ascii="宋体" w:hAnsi="宋体" w:eastAsia="仿宋_GB2312" w:cs="宋体"/>
          <w:b/>
          <w:sz w:val="32"/>
          <w:szCs w:val="32"/>
        </w:rPr>
      </w:pPr>
      <w:r>
        <w:rPr>
          <w:rFonts w:hint="eastAsia" w:ascii="宋体" w:hAnsi="宋体" w:eastAsia="仿宋_GB2312" w:cs="宋体"/>
          <w:b/>
          <w:sz w:val="32"/>
          <w:szCs w:val="32"/>
        </w:rPr>
        <w:t>本次药品集中采购企业申报全程采用无纸化电子申报方式，不接受企业纸质材料。</w:t>
      </w:r>
    </w:p>
    <w:p>
      <w:pPr>
        <w:pStyle w:val="15"/>
        <w:autoSpaceDE w:val="0"/>
        <w:autoSpaceDN w:val="0"/>
        <w:ind w:firstLine="31680" w:firstLineChars="200"/>
        <w:outlineLvl w:val="0"/>
        <w:rPr>
          <w:rFonts w:ascii="宋体" w:hAnsi="宋体" w:eastAsia="仿宋_GB2312" w:cs="宋体"/>
          <w:sz w:val="32"/>
          <w:szCs w:val="32"/>
        </w:rPr>
      </w:pPr>
      <w:r>
        <w:rPr>
          <w:rFonts w:hint="eastAsia" w:ascii="宋体" w:hAnsi="宋体" w:eastAsia="仿宋_GB2312" w:cs="宋体"/>
          <w:sz w:val="32"/>
          <w:szCs w:val="32"/>
        </w:rPr>
        <w:t>（一）一家企业只能授权一人参加申报，一人只能接受一家企业授权。</w:t>
      </w:r>
    </w:p>
    <w:p>
      <w:pPr>
        <w:pStyle w:val="15"/>
        <w:autoSpaceDE w:val="0"/>
        <w:autoSpaceDN w:val="0"/>
        <w:ind w:firstLine="31680" w:firstLineChars="200"/>
        <w:outlineLvl w:val="0"/>
        <w:rPr>
          <w:rFonts w:ascii="宋体" w:hAnsi="宋体" w:eastAsia="仿宋_GB2312" w:cs="宋体"/>
          <w:sz w:val="32"/>
          <w:szCs w:val="32"/>
        </w:rPr>
      </w:pPr>
      <w:r>
        <w:rPr>
          <w:rFonts w:hint="eastAsia" w:ascii="宋体" w:hAnsi="宋体" w:eastAsia="仿宋_GB2312" w:cs="宋体"/>
          <w:sz w:val="32"/>
          <w:szCs w:val="32"/>
        </w:rPr>
        <w:t>（二）生产企业的被授权人须持本人身份证、法定代表人授权书、药品生产</w:t>
      </w:r>
      <w:r>
        <w:rPr>
          <w:rFonts w:ascii="宋体" w:hAnsi="宋体" w:eastAsia="仿宋_GB2312" w:cs="宋体"/>
          <w:sz w:val="32"/>
          <w:szCs w:val="32"/>
        </w:rPr>
        <w:t>(</w:t>
      </w:r>
      <w:r>
        <w:rPr>
          <w:rFonts w:hint="eastAsia" w:ascii="宋体" w:hAnsi="宋体" w:eastAsia="仿宋_GB2312" w:cs="宋体"/>
          <w:sz w:val="32"/>
          <w:szCs w:val="32"/>
        </w:rPr>
        <w:t>经营</w:t>
      </w:r>
      <w:r>
        <w:rPr>
          <w:rFonts w:ascii="宋体" w:hAnsi="宋体" w:eastAsia="仿宋_GB2312" w:cs="宋体"/>
          <w:sz w:val="32"/>
          <w:szCs w:val="32"/>
        </w:rPr>
        <w:t>)</w:t>
      </w:r>
      <w:r>
        <w:rPr>
          <w:rFonts w:hint="eastAsia" w:ascii="宋体" w:hAnsi="宋体" w:eastAsia="仿宋_GB2312" w:cs="宋体"/>
          <w:sz w:val="32"/>
          <w:szCs w:val="32"/>
        </w:rPr>
        <w:t>许可证复印件、营业执照</w:t>
      </w:r>
      <w:r>
        <w:rPr>
          <w:rFonts w:ascii="宋体" w:hAnsi="宋体" w:eastAsia="仿宋_GB2312" w:cs="宋体"/>
          <w:sz w:val="32"/>
          <w:szCs w:val="32"/>
        </w:rPr>
        <w:t>(</w:t>
      </w:r>
      <w:r>
        <w:rPr>
          <w:rFonts w:hint="eastAsia" w:ascii="宋体" w:hAnsi="宋体" w:eastAsia="仿宋_GB2312" w:cs="宋体"/>
          <w:sz w:val="32"/>
          <w:szCs w:val="32"/>
        </w:rPr>
        <w:t>副本</w:t>
      </w:r>
      <w:r>
        <w:rPr>
          <w:rFonts w:ascii="宋体" w:hAnsi="宋体" w:eastAsia="仿宋_GB2312" w:cs="宋体"/>
          <w:sz w:val="32"/>
          <w:szCs w:val="32"/>
        </w:rPr>
        <w:t>)</w:t>
      </w:r>
      <w:r>
        <w:rPr>
          <w:rFonts w:hint="eastAsia" w:ascii="宋体" w:hAnsi="宋体" w:eastAsia="仿宋_GB2312" w:cs="宋体"/>
          <w:sz w:val="32"/>
          <w:szCs w:val="32"/>
        </w:rPr>
        <w:t>复印件、组织机构代码证复印件、生产企业授权书（生产企业直接申报的无须提供）在规定时间内到省药采中心领取用户名和密码，过期不再发放。已参加山东省药品集中采购活动的企业使用原用户名和密码。</w:t>
      </w:r>
    </w:p>
    <w:p>
      <w:pPr>
        <w:ind w:firstLine="31680" w:firstLineChars="200"/>
        <w:rPr>
          <w:rFonts w:ascii="宋体" w:eastAsia="宋体"/>
          <w:szCs w:val="32"/>
        </w:rPr>
      </w:pPr>
      <w:r>
        <w:rPr>
          <w:rFonts w:hint="eastAsia" w:ascii="宋体" w:hAnsi="宋体" w:cs="宋体"/>
          <w:kern w:val="0"/>
          <w:szCs w:val="32"/>
        </w:rPr>
        <w:t>（三）</w:t>
      </w:r>
      <w:r>
        <w:rPr>
          <w:rFonts w:hint="eastAsia" w:ascii="宋体" w:hAnsi="宋体"/>
          <w:szCs w:val="32"/>
        </w:rPr>
        <w:t>资质证明文件及生产企业与省药采中心的往来函电均使用中文，外文资料必须提供相应的中文翻译文本并经公证部门公证。</w:t>
      </w:r>
    </w:p>
    <w:p>
      <w:pPr>
        <w:ind w:firstLine="31680" w:firstLineChars="200"/>
        <w:rPr>
          <w:rFonts w:ascii="宋体" w:eastAsia="宋体"/>
          <w:szCs w:val="32"/>
        </w:rPr>
      </w:pPr>
      <w:r>
        <w:rPr>
          <w:rFonts w:hint="eastAsia" w:ascii="宋体" w:hAnsi="宋体" w:cs="宋体"/>
          <w:kern w:val="0"/>
          <w:szCs w:val="32"/>
        </w:rPr>
        <w:t>（四）</w:t>
      </w:r>
      <w:r>
        <w:rPr>
          <w:rFonts w:hint="eastAsia" w:ascii="宋体" w:hAnsi="宋体"/>
          <w:szCs w:val="32"/>
        </w:rPr>
        <w:t>同一评审单元，一家企业只能选择一个产品申报。</w:t>
      </w:r>
    </w:p>
    <w:p>
      <w:pPr>
        <w:ind w:firstLine="31680" w:firstLineChars="200"/>
        <w:rPr>
          <w:rFonts w:ascii="宋体" w:eastAsia="宋体"/>
          <w:color w:val="FF0000"/>
          <w:szCs w:val="32"/>
        </w:rPr>
      </w:pPr>
      <w:r>
        <w:rPr>
          <w:rFonts w:hint="eastAsia" w:ascii="宋体" w:hAnsi="宋体"/>
          <w:szCs w:val="32"/>
        </w:rPr>
        <w:t>（五）企业申报时，通用名、剂型、规格、包材等应按生产批件、说明书及现行版药典标准申报，进口产品生产企业应按实际生产企业申报。</w:t>
      </w:r>
    </w:p>
    <w:p>
      <w:pPr>
        <w:ind w:firstLine="31680" w:firstLineChars="200"/>
        <w:rPr>
          <w:rFonts w:ascii="宋体" w:eastAsia="宋体" w:cs="宋体"/>
          <w:kern w:val="0"/>
          <w:szCs w:val="32"/>
        </w:rPr>
      </w:pPr>
      <w:r>
        <w:rPr>
          <w:rFonts w:hint="eastAsia" w:ascii="宋体" w:hAnsi="宋体" w:cs="宋体"/>
          <w:kern w:val="0"/>
          <w:szCs w:val="32"/>
        </w:rPr>
        <w:t>（六）申报企业须在规定时间内通过用户名、密码登录平台，编制、上传资质证明文件</w:t>
      </w:r>
      <w:r>
        <w:rPr>
          <w:rFonts w:ascii="宋体" w:hAnsi="宋体" w:cs="宋体"/>
          <w:kern w:val="0"/>
          <w:szCs w:val="32"/>
        </w:rPr>
        <w:t>(</w:t>
      </w:r>
      <w:r>
        <w:rPr>
          <w:rFonts w:hint="eastAsia" w:ascii="宋体" w:hAnsi="宋体" w:cs="宋体"/>
          <w:kern w:val="0"/>
          <w:szCs w:val="32"/>
        </w:rPr>
        <w:t>图片小于</w:t>
      </w:r>
      <w:r>
        <w:rPr>
          <w:rFonts w:ascii="宋体" w:hAnsi="宋体" w:cs="宋体"/>
          <w:kern w:val="0"/>
          <w:szCs w:val="32"/>
        </w:rPr>
        <w:t>2MB</w:t>
      </w:r>
      <w:r>
        <w:rPr>
          <w:rFonts w:hint="eastAsia" w:ascii="宋体" w:hAnsi="宋体" w:cs="宋体"/>
          <w:kern w:val="0"/>
          <w:szCs w:val="32"/>
        </w:rPr>
        <w:t>、直立、清晰、加盖企业电子签章</w:t>
      </w:r>
      <w:r>
        <w:rPr>
          <w:rFonts w:ascii="宋体" w:hAnsi="宋体" w:cs="宋体"/>
          <w:kern w:val="0"/>
          <w:szCs w:val="32"/>
        </w:rPr>
        <w:t>)</w:t>
      </w:r>
      <w:r>
        <w:rPr>
          <w:rFonts w:hint="eastAsia" w:ascii="宋体" w:hAnsi="宋体" w:cs="宋体"/>
          <w:kern w:val="0"/>
          <w:szCs w:val="32"/>
        </w:rPr>
        <w:t>。具体操作流程，请查阅平台内《申报企业网上申报资料、报价及解密使用说明》。</w:t>
      </w:r>
    </w:p>
    <w:p>
      <w:pPr>
        <w:ind w:firstLine="31680" w:firstLineChars="200"/>
        <w:rPr>
          <w:rFonts w:ascii="宋体" w:eastAsia="宋体" w:cs="宋体"/>
          <w:kern w:val="0"/>
          <w:szCs w:val="32"/>
        </w:rPr>
      </w:pPr>
      <w:r>
        <w:rPr>
          <w:rFonts w:hint="eastAsia" w:ascii="宋体" w:hAnsi="宋体" w:cs="宋体"/>
          <w:kern w:val="0"/>
          <w:szCs w:val="32"/>
        </w:rPr>
        <w:t>（七）在申报截止时间前，可以补充、修改或者撤回已申报的文件。补充修改的内容为资质证明文件的组成部分。</w:t>
      </w:r>
    </w:p>
    <w:p>
      <w:pPr>
        <w:ind w:firstLine="31680" w:firstLineChars="200"/>
        <w:rPr>
          <w:rFonts w:ascii="宋体" w:eastAsia="宋体" w:cs="宋体"/>
          <w:kern w:val="0"/>
          <w:szCs w:val="32"/>
        </w:rPr>
      </w:pPr>
      <w:r>
        <w:rPr>
          <w:rFonts w:hint="eastAsia" w:ascii="宋体" w:hAnsi="宋体" w:cs="宋体"/>
          <w:kern w:val="0"/>
          <w:szCs w:val="32"/>
        </w:rPr>
        <w:t>（八）资质证明文件内容应真实、合法、完整、有效；提供虚假材料的取消企业申报资格。</w:t>
      </w:r>
    </w:p>
    <w:p>
      <w:pPr>
        <w:ind w:firstLine="31680" w:firstLineChars="200"/>
        <w:rPr>
          <w:rFonts w:ascii="仿宋_GB2312" w:hAnsi="宋体" w:cs="宋体"/>
          <w:kern w:val="0"/>
          <w:szCs w:val="32"/>
        </w:rPr>
      </w:pPr>
      <w:r>
        <w:rPr>
          <w:rFonts w:hint="eastAsia" w:ascii="宋体" w:hAnsi="宋体" w:cs="宋体"/>
          <w:kern w:val="0"/>
          <w:szCs w:val="32"/>
        </w:rPr>
        <w:t>（九）本次药品集中采购活动的相关信息，适时在“山东省</w:t>
      </w:r>
      <w:r>
        <w:rPr>
          <w:rFonts w:hint="eastAsia" w:ascii="仿宋_GB2312" w:hAnsi="宋体" w:cs="宋体"/>
          <w:kern w:val="0"/>
          <w:szCs w:val="32"/>
        </w:rPr>
        <w:t>药品集中采购网”发布，并作为药品集中采购文件的组成部分，请随时关注。</w:t>
      </w:r>
    </w:p>
    <w:p>
      <w:pPr>
        <w:autoSpaceDE w:val="0"/>
        <w:autoSpaceDN w:val="0"/>
        <w:ind w:firstLine="31680" w:firstLineChars="200"/>
        <w:outlineLvl w:val="0"/>
        <w:rPr>
          <w:rFonts w:ascii="宋体" w:eastAsia="宋体" w:cs="宋体"/>
          <w:b/>
          <w:kern w:val="0"/>
          <w:szCs w:val="32"/>
        </w:rPr>
      </w:pPr>
      <w:r>
        <w:rPr>
          <w:rFonts w:ascii="宋体" w:hAnsi="宋体" w:cs="宋体"/>
          <w:b/>
          <w:kern w:val="0"/>
          <w:szCs w:val="32"/>
        </w:rPr>
        <w:t>2014</w:t>
      </w:r>
      <w:r>
        <w:rPr>
          <w:rFonts w:hint="eastAsia" w:ascii="宋体" w:hAnsi="宋体" w:cs="宋体"/>
          <w:b/>
          <w:kern w:val="0"/>
          <w:szCs w:val="32"/>
        </w:rPr>
        <w:t>年以来，申报产品在生产环节抽检有两个及以上批次不合格的，取消该产品投标资格。</w:t>
      </w:r>
    </w:p>
    <w:p>
      <w:pPr>
        <w:ind w:firstLine="31680" w:firstLineChars="200"/>
        <w:rPr>
          <w:rFonts w:ascii="宋体" w:hAnsi="宋体" w:eastAsia="黑体" w:cs="黑体"/>
          <w:kern w:val="0"/>
          <w:szCs w:val="32"/>
        </w:rPr>
      </w:pPr>
      <w:r>
        <w:rPr>
          <w:rFonts w:hint="eastAsia" w:ascii="宋体" w:hAnsi="宋体" w:eastAsia="黑体" w:cs="黑体"/>
          <w:kern w:val="0"/>
          <w:szCs w:val="32"/>
        </w:rPr>
        <w:t>四、资质证明文件审核和确认</w:t>
      </w:r>
    </w:p>
    <w:p>
      <w:pPr>
        <w:ind w:firstLine="31680" w:firstLineChars="200"/>
        <w:rPr>
          <w:rFonts w:ascii="宋体" w:eastAsia="宋体" w:cs="宋体"/>
          <w:kern w:val="0"/>
          <w:szCs w:val="32"/>
        </w:rPr>
      </w:pPr>
      <w:r>
        <w:rPr>
          <w:rFonts w:hint="eastAsia" w:ascii="宋体" w:hAnsi="宋体" w:cs="宋体"/>
          <w:kern w:val="0"/>
          <w:szCs w:val="32"/>
        </w:rPr>
        <w:t>（一）省药采中心协同省药监、物价、工商等部门对资质证明文件的真实性、合法性、完整性、有效性等进行审核。对审核中发现的问题，申报企业须按要求，在规定时间内通过平台进行澄清或修改、补充资质证明文件。</w:t>
      </w:r>
    </w:p>
    <w:p>
      <w:pPr>
        <w:ind w:firstLine="31680" w:firstLineChars="200"/>
        <w:rPr>
          <w:rFonts w:ascii="宋体" w:eastAsia="宋体" w:cs="宋体"/>
          <w:kern w:val="0"/>
          <w:szCs w:val="32"/>
        </w:rPr>
      </w:pPr>
      <w:r>
        <w:rPr>
          <w:rFonts w:hint="eastAsia" w:ascii="宋体" w:hAnsi="宋体" w:cs="宋体"/>
          <w:kern w:val="0"/>
          <w:szCs w:val="32"/>
        </w:rPr>
        <w:t>（二）省药采中心在平台公示审核结果，如企业对公示结果有异议的，可在规定时间内通过平台递交相关材料。如有必要，须按要求提供纸质材料。</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（三）企业须在规定的时间内通过平台对审核后的信息进行确认。信息确认后不能再作修改，否则产生的后果由申报企业承担。逾期未确认的，视为放弃。</w:t>
      </w:r>
    </w:p>
    <w:p>
      <w:pPr>
        <w:widowControl/>
        <w:jc w:val="center"/>
        <w:rPr>
          <w:rFonts w:ascii="宋体" w:hAnsi="宋体" w:eastAsia="黑体" w:cs="宋体"/>
          <w:kern w:val="0"/>
          <w:sz w:val="36"/>
          <w:szCs w:val="36"/>
        </w:rPr>
      </w:pPr>
    </w:p>
    <w:p>
      <w:pPr>
        <w:widowControl/>
        <w:jc w:val="center"/>
        <w:rPr>
          <w:rFonts w:ascii="宋体" w:hAnsi="宋体" w:eastAsia="黑体" w:cs="宋体"/>
          <w:kern w:val="0"/>
          <w:sz w:val="36"/>
          <w:szCs w:val="36"/>
        </w:rPr>
      </w:pPr>
      <w:r>
        <w:rPr>
          <w:rFonts w:hint="eastAsia" w:ascii="宋体" w:hAnsi="宋体" w:eastAsia="黑体" w:cs="宋体"/>
          <w:kern w:val="0"/>
          <w:sz w:val="36"/>
          <w:szCs w:val="36"/>
        </w:rPr>
        <w:t>第四部分</w:t>
      </w:r>
      <w:r>
        <w:rPr>
          <w:rFonts w:ascii="宋体" w:hAnsi="宋体" w:eastAsia="黑体" w:cs="宋体"/>
          <w:kern w:val="0"/>
          <w:sz w:val="36"/>
          <w:szCs w:val="36"/>
        </w:rPr>
        <w:t xml:space="preserve">  </w:t>
      </w:r>
      <w:r>
        <w:rPr>
          <w:rFonts w:hint="eastAsia" w:ascii="宋体" w:hAnsi="宋体" w:eastAsia="黑体" w:cs="宋体"/>
          <w:kern w:val="0"/>
          <w:sz w:val="36"/>
          <w:szCs w:val="36"/>
        </w:rPr>
        <w:t>报价和解密</w:t>
      </w:r>
    </w:p>
    <w:p>
      <w:pPr>
        <w:autoSpaceDE w:val="0"/>
        <w:autoSpaceDN w:val="0"/>
        <w:ind w:firstLine="31680" w:firstLineChars="200"/>
        <w:outlineLvl w:val="0"/>
        <w:rPr>
          <w:rFonts w:ascii="宋体" w:hAnsi="宋体" w:eastAsia="黑体" w:cs="黑体"/>
          <w:kern w:val="0"/>
          <w:szCs w:val="32"/>
        </w:rPr>
      </w:pPr>
      <w:r>
        <w:rPr>
          <w:rFonts w:hint="eastAsia" w:ascii="宋体" w:hAnsi="宋体" w:eastAsia="黑体" w:cs="黑体"/>
          <w:kern w:val="0"/>
          <w:szCs w:val="32"/>
        </w:rPr>
        <w:t>一、报价</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（一）企业应在规定时间内通过用户名、密码登录平台对所有通过审核的产品进行报价。</w:t>
      </w:r>
    </w:p>
    <w:p>
      <w:pPr>
        <w:ind w:firstLine="31680" w:firstLineChars="200"/>
        <w:rPr>
          <w:rFonts w:ascii="宋体" w:eastAsia="宋体" w:cs="宋体"/>
          <w:kern w:val="0"/>
          <w:szCs w:val="32"/>
        </w:rPr>
      </w:pPr>
      <w:r>
        <w:rPr>
          <w:rFonts w:hint="eastAsia" w:ascii="宋体" w:hAnsi="宋体" w:cs="宋体"/>
          <w:kern w:val="0"/>
          <w:szCs w:val="32"/>
        </w:rPr>
        <w:t>（二）企业报价时须使用数字证书对报价进行加密，确保报价的保密性。</w:t>
      </w:r>
    </w:p>
    <w:p>
      <w:pPr>
        <w:ind w:firstLine="31680" w:firstLineChars="200"/>
        <w:rPr>
          <w:rFonts w:ascii="宋体" w:eastAsia="宋体" w:cs="宋体"/>
          <w:kern w:val="0"/>
          <w:szCs w:val="32"/>
        </w:rPr>
      </w:pPr>
      <w:r>
        <w:rPr>
          <w:rFonts w:hint="eastAsia" w:ascii="宋体" w:hAnsi="宋体" w:cs="宋体"/>
          <w:kern w:val="0"/>
          <w:szCs w:val="32"/>
        </w:rPr>
        <w:t>（三）报价是生产企业对医疗机构的供货价</w:t>
      </w:r>
      <w:r>
        <w:rPr>
          <w:rFonts w:ascii="宋体" w:hAnsi="宋体" w:cs="宋体"/>
          <w:kern w:val="0"/>
          <w:szCs w:val="32"/>
        </w:rPr>
        <w:t>(</w:t>
      </w:r>
      <w:r>
        <w:rPr>
          <w:rFonts w:hint="eastAsia" w:ascii="宋体" w:hAnsi="宋体" w:cs="宋体"/>
          <w:kern w:val="0"/>
          <w:szCs w:val="32"/>
        </w:rPr>
        <w:t>含配送费</w:t>
      </w:r>
      <w:r>
        <w:rPr>
          <w:rFonts w:ascii="宋体" w:hAnsi="宋体" w:cs="宋体"/>
          <w:kern w:val="0"/>
          <w:szCs w:val="32"/>
        </w:rPr>
        <w:t>)</w:t>
      </w:r>
      <w:r>
        <w:rPr>
          <w:rFonts w:hint="eastAsia" w:ascii="宋体" w:hAnsi="宋体" w:cs="宋体"/>
          <w:kern w:val="0"/>
          <w:szCs w:val="32"/>
        </w:rPr>
        <w:t>。</w:t>
      </w:r>
    </w:p>
    <w:p>
      <w:pPr>
        <w:ind w:firstLine="31680" w:firstLineChars="200"/>
        <w:rPr>
          <w:rFonts w:ascii="宋体" w:eastAsia="宋体" w:cs="宋体"/>
          <w:kern w:val="0"/>
          <w:szCs w:val="32"/>
        </w:rPr>
      </w:pPr>
      <w:r>
        <w:rPr>
          <w:rFonts w:hint="eastAsia" w:ascii="宋体" w:hAnsi="宋体" w:cs="宋体"/>
          <w:kern w:val="0"/>
          <w:szCs w:val="32"/>
        </w:rPr>
        <w:t>（四）报价使用货币及单位：人民币</w:t>
      </w:r>
      <w:r>
        <w:rPr>
          <w:rFonts w:ascii="宋体" w:hAnsi="宋体" w:cs="宋体"/>
          <w:kern w:val="0"/>
          <w:szCs w:val="32"/>
        </w:rPr>
        <w:t>(</w:t>
      </w:r>
      <w:r>
        <w:rPr>
          <w:rFonts w:hint="eastAsia" w:ascii="宋体" w:hAnsi="宋体" w:cs="宋体"/>
          <w:kern w:val="0"/>
          <w:szCs w:val="32"/>
        </w:rPr>
        <w:t>元</w:t>
      </w:r>
      <w:r>
        <w:rPr>
          <w:rFonts w:ascii="宋体" w:hAnsi="宋体" w:cs="宋体"/>
          <w:kern w:val="0"/>
          <w:szCs w:val="32"/>
        </w:rPr>
        <w:t>)</w:t>
      </w:r>
      <w:r>
        <w:rPr>
          <w:rFonts w:hint="eastAsia" w:ascii="宋体" w:hAnsi="宋体" w:cs="宋体"/>
          <w:kern w:val="0"/>
          <w:szCs w:val="32"/>
        </w:rPr>
        <w:t>，报价保留到小数点后</w:t>
      </w:r>
      <w:r>
        <w:rPr>
          <w:rFonts w:ascii="宋体" w:hAnsi="宋体" w:cs="宋体"/>
          <w:kern w:val="0"/>
          <w:szCs w:val="32"/>
        </w:rPr>
        <w:t>2</w:t>
      </w:r>
      <w:r>
        <w:rPr>
          <w:rFonts w:hint="eastAsia" w:ascii="宋体" w:hAnsi="宋体" w:cs="宋体"/>
          <w:kern w:val="0"/>
          <w:szCs w:val="32"/>
        </w:rPr>
        <w:t>位</w:t>
      </w:r>
      <w:r>
        <w:rPr>
          <w:rFonts w:ascii="宋体" w:hAnsi="宋体" w:cs="宋体"/>
          <w:kern w:val="0"/>
          <w:szCs w:val="32"/>
        </w:rPr>
        <w:t>(</w:t>
      </w:r>
      <w:r>
        <w:rPr>
          <w:rFonts w:hint="eastAsia" w:ascii="宋体" w:hAnsi="宋体" w:cs="宋体"/>
          <w:kern w:val="0"/>
          <w:szCs w:val="32"/>
        </w:rPr>
        <w:t>即</w:t>
      </w:r>
      <w:r>
        <w:rPr>
          <w:rFonts w:ascii="宋体" w:hAnsi="宋体" w:cs="宋体"/>
          <w:kern w:val="0"/>
          <w:szCs w:val="32"/>
        </w:rPr>
        <w:t>0.01</w:t>
      </w:r>
      <w:r>
        <w:rPr>
          <w:rFonts w:hint="eastAsia" w:ascii="宋体" w:hAnsi="宋体" w:cs="宋体"/>
          <w:kern w:val="0"/>
          <w:szCs w:val="32"/>
        </w:rPr>
        <w:t>元</w:t>
      </w:r>
      <w:r>
        <w:rPr>
          <w:rFonts w:ascii="宋体" w:hAnsi="宋体" w:cs="宋体"/>
          <w:kern w:val="0"/>
          <w:szCs w:val="32"/>
        </w:rPr>
        <w:t>)</w:t>
      </w:r>
      <w:r>
        <w:rPr>
          <w:rFonts w:hint="eastAsia" w:ascii="宋体" w:hAnsi="宋体" w:cs="宋体"/>
          <w:kern w:val="0"/>
          <w:szCs w:val="32"/>
        </w:rPr>
        <w:t>。未报价或报价为</w:t>
      </w:r>
      <w:r>
        <w:rPr>
          <w:rFonts w:ascii="宋体" w:eastAsia="宋体" w:cs="宋体"/>
          <w:kern w:val="0"/>
          <w:szCs w:val="32"/>
        </w:rPr>
        <w:t>0</w:t>
      </w:r>
      <w:r>
        <w:rPr>
          <w:rFonts w:hint="eastAsia" w:ascii="宋体" w:hAnsi="宋体" w:cs="宋体"/>
          <w:kern w:val="0"/>
          <w:szCs w:val="32"/>
        </w:rPr>
        <w:t>的产品视为放弃。</w:t>
      </w:r>
    </w:p>
    <w:p>
      <w:pPr>
        <w:ind w:firstLine="31680" w:firstLineChars="200"/>
        <w:rPr>
          <w:rFonts w:ascii="宋体" w:eastAsia="宋体" w:cs="宋体"/>
          <w:kern w:val="0"/>
          <w:szCs w:val="32"/>
        </w:rPr>
      </w:pPr>
      <w:r>
        <w:rPr>
          <w:rFonts w:hint="eastAsia" w:ascii="宋体" w:hAnsi="宋体" w:cs="宋体"/>
          <w:kern w:val="0"/>
          <w:szCs w:val="32"/>
        </w:rPr>
        <w:t>（五）报价时，必须以平台中“报价单位”显示的单位进行报价。</w:t>
      </w:r>
    </w:p>
    <w:p>
      <w:pPr>
        <w:ind w:firstLine="31680" w:firstLineChars="200"/>
        <w:rPr>
          <w:rFonts w:ascii="宋体" w:eastAsia="宋体" w:cs="宋体"/>
          <w:kern w:val="0"/>
          <w:szCs w:val="32"/>
        </w:rPr>
      </w:pPr>
      <w:r>
        <w:rPr>
          <w:rFonts w:hint="eastAsia" w:ascii="宋体" w:hAnsi="宋体" w:cs="宋体"/>
          <w:kern w:val="0"/>
          <w:szCs w:val="32"/>
        </w:rPr>
        <w:t>（六）同生产企业同通用名的投标产品报价应保持合理比价关系。</w:t>
      </w:r>
    </w:p>
    <w:p>
      <w:pPr>
        <w:autoSpaceDE w:val="0"/>
        <w:autoSpaceDN w:val="0"/>
        <w:ind w:firstLine="31680" w:firstLineChars="200"/>
        <w:outlineLvl w:val="0"/>
        <w:rPr>
          <w:rFonts w:ascii="宋体" w:hAnsi="宋体" w:eastAsia="黑体" w:cs="黑体"/>
          <w:kern w:val="0"/>
          <w:szCs w:val="32"/>
        </w:rPr>
      </w:pPr>
      <w:r>
        <w:rPr>
          <w:rFonts w:hint="eastAsia" w:ascii="宋体" w:hAnsi="宋体" w:eastAsia="黑体" w:cs="黑体"/>
          <w:kern w:val="0"/>
          <w:szCs w:val="32"/>
        </w:rPr>
        <w:t>二、解密</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（一）实行网上远程解密方式进行报价解密。企业须在规定时间内使用用户名、密码登录平台完成解密工作。未在规定时间内完成解密的，视为放弃。</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（二）省药采中心设置报价解密现场，邀请有关人员参与现场监督、确认解密结果。</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报价和解密的具体时间和操作方式，另行通知。</w:t>
      </w:r>
    </w:p>
    <w:p>
      <w:pPr>
        <w:widowControl/>
        <w:jc w:val="left"/>
        <w:rPr>
          <w:rFonts w:ascii="宋体" w:hAnsi="宋体" w:eastAsia="黑体" w:cs="宋体"/>
          <w:kern w:val="0"/>
          <w:sz w:val="36"/>
          <w:szCs w:val="36"/>
        </w:rPr>
      </w:pPr>
    </w:p>
    <w:p>
      <w:pPr>
        <w:autoSpaceDE w:val="0"/>
        <w:autoSpaceDN w:val="0"/>
        <w:spacing w:after="100" w:afterAutospacing="1"/>
        <w:jc w:val="center"/>
        <w:outlineLvl w:val="0"/>
        <w:rPr>
          <w:rFonts w:ascii="宋体" w:hAnsi="宋体" w:eastAsia="黑体" w:cs="宋体"/>
          <w:color w:val="FF0000"/>
          <w:kern w:val="0"/>
          <w:sz w:val="36"/>
          <w:szCs w:val="36"/>
        </w:rPr>
      </w:pPr>
      <w:r>
        <w:rPr>
          <w:rFonts w:hint="eastAsia" w:ascii="宋体" w:hAnsi="宋体" w:eastAsia="黑体" w:cs="宋体"/>
          <w:kern w:val="0"/>
          <w:sz w:val="36"/>
          <w:szCs w:val="36"/>
        </w:rPr>
        <w:t>第五部分</w:t>
      </w:r>
      <w:r>
        <w:rPr>
          <w:rFonts w:ascii="宋体" w:hAnsi="宋体" w:eastAsia="黑体" w:cs="宋体"/>
          <w:kern w:val="0"/>
          <w:sz w:val="36"/>
          <w:szCs w:val="36"/>
        </w:rPr>
        <w:t xml:space="preserve">  </w:t>
      </w:r>
      <w:r>
        <w:rPr>
          <w:rFonts w:hint="eastAsia" w:ascii="宋体" w:hAnsi="宋体" w:eastAsia="黑体" w:cs="宋体"/>
          <w:kern w:val="0"/>
          <w:sz w:val="36"/>
          <w:szCs w:val="36"/>
        </w:rPr>
        <w:t>公开招标采购</w:t>
      </w:r>
    </w:p>
    <w:p>
      <w:pPr>
        <w:ind w:firstLine="31680" w:firstLineChars="200"/>
        <w:rPr>
          <w:rFonts w:ascii="宋体" w:hAnsi="宋体" w:eastAsia="黑体" w:cs="黑体"/>
          <w:kern w:val="0"/>
          <w:szCs w:val="32"/>
        </w:rPr>
      </w:pPr>
      <w:r>
        <w:rPr>
          <w:rFonts w:hint="eastAsia" w:ascii="宋体" w:hAnsi="宋体" w:eastAsia="黑体" w:cs="黑体"/>
          <w:kern w:val="0"/>
          <w:szCs w:val="32"/>
        </w:rPr>
        <w:t>一、评审单元划分</w:t>
      </w:r>
    </w:p>
    <w:p>
      <w:pPr>
        <w:ind w:firstLine="31680" w:firstLineChars="200"/>
        <w:rPr>
          <w:rFonts w:ascii="宋体" w:hAnsi="宋体" w:eastAsia="楷体" w:cs="宋体"/>
          <w:kern w:val="0"/>
          <w:szCs w:val="32"/>
        </w:rPr>
      </w:pPr>
      <w:r>
        <w:rPr>
          <w:rFonts w:hint="eastAsia" w:ascii="宋体" w:hAnsi="宋体" w:cs="宋体"/>
          <w:kern w:val="0"/>
          <w:szCs w:val="32"/>
        </w:rPr>
        <w:t>同通用名同剂型同规格同竞价分组的化学药品、生物制品或中成药为同一评审单元。公开招标目录中未明确规格的药品，该剂型下所有规格为同一评审单元。</w:t>
      </w:r>
    </w:p>
    <w:p>
      <w:pPr>
        <w:ind w:firstLine="31680" w:firstLineChars="200"/>
        <w:rPr>
          <w:rFonts w:ascii="宋体" w:hAnsi="宋体" w:eastAsia="楷体" w:cs="楷体"/>
          <w:szCs w:val="32"/>
        </w:rPr>
      </w:pPr>
      <w:r>
        <w:rPr>
          <w:rFonts w:hint="eastAsia" w:ascii="宋体" w:hAnsi="宋体" w:eastAsia="楷体" w:cs="楷体"/>
          <w:szCs w:val="32"/>
        </w:rPr>
        <w:t>（一）剂型划分</w:t>
      </w:r>
    </w:p>
    <w:p>
      <w:pPr>
        <w:ind w:firstLine="31680" w:firstLineChars="200"/>
        <w:rPr>
          <w:rFonts w:ascii="宋体" w:eastAsia="宋体"/>
          <w:szCs w:val="32"/>
        </w:rPr>
      </w:pPr>
      <w:r>
        <w:rPr>
          <w:rFonts w:hint="eastAsia" w:ascii="宋体" w:hAnsi="宋体"/>
          <w:szCs w:val="32"/>
        </w:rPr>
        <w:t>综合考虑药品的适应症、制备工艺、生产成本和临床需求等因素将剂型进行合并分组</w:t>
      </w:r>
      <w:r>
        <w:rPr>
          <w:rFonts w:ascii="宋体" w:hAnsi="宋体"/>
          <w:szCs w:val="32"/>
        </w:rPr>
        <w:t>(</w:t>
      </w:r>
      <w:r>
        <w:rPr>
          <w:rFonts w:hint="eastAsia" w:ascii="宋体" w:hAnsi="宋体"/>
          <w:szCs w:val="32"/>
        </w:rPr>
        <w:t>详见附件</w:t>
      </w:r>
      <w:r>
        <w:rPr>
          <w:rFonts w:ascii="宋体" w:hAnsi="宋体"/>
          <w:szCs w:val="32"/>
        </w:rPr>
        <w:t>2)</w:t>
      </w:r>
      <w:r>
        <w:rPr>
          <w:rFonts w:hint="eastAsia" w:ascii="宋体" w:hAnsi="宋体"/>
          <w:szCs w:val="32"/>
        </w:rPr>
        <w:t>。</w:t>
      </w:r>
    </w:p>
    <w:p>
      <w:pPr>
        <w:ind w:firstLine="31680" w:firstLineChars="200"/>
        <w:rPr>
          <w:rFonts w:ascii="宋体" w:hAnsi="宋体" w:eastAsia="楷体" w:cs="楷体"/>
          <w:kern w:val="0"/>
          <w:szCs w:val="32"/>
        </w:rPr>
      </w:pPr>
      <w:r>
        <w:rPr>
          <w:rFonts w:hint="eastAsia" w:ascii="宋体" w:hAnsi="宋体" w:eastAsia="楷体" w:cs="楷体"/>
          <w:kern w:val="0"/>
          <w:szCs w:val="32"/>
        </w:rPr>
        <w:t>（二）药品竞价分组</w:t>
      </w:r>
    </w:p>
    <w:p>
      <w:pPr>
        <w:spacing w:line="360" w:lineRule="auto"/>
        <w:ind w:firstLine="31680" w:firstLineChars="196"/>
        <w:rPr>
          <w:rFonts w:ascii="宋体" w:eastAsia="宋体"/>
          <w:szCs w:val="32"/>
        </w:rPr>
      </w:pPr>
      <w:r>
        <w:rPr>
          <w:rFonts w:hint="eastAsia" w:ascii="宋体" w:hAnsi="宋体"/>
          <w:szCs w:val="32"/>
        </w:rPr>
        <w:t>根据国家药品管理办法、药品科技水平、企业研发能力等因素，划分三个竞价组。</w:t>
      </w:r>
    </w:p>
    <w:p>
      <w:pPr>
        <w:spacing w:line="360" w:lineRule="auto"/>
        <w:ind w:firstLine="31680" w:firstLineChars="200"/>
        <w:rPr>
          <w:rFonts w:ascii="宋体" w:eastAsia="宋体"/>
          <w:szCs w:val="32"/>
        </w:rPr>
      </w:pPr>
      <w:r>
        <w:rPr>
          <w:rFonts w:hint="eastAsia" w:ascii="宋体" w:hAnsi="宋体"/>
          <w:szCs w:val="32"/>
        </w:rPr>
        <w:t>第一竞价组：专利药品、国家</w:t>
      </w:r>
      <w:r>
        <w:rPr>
          <w:rFonts w:ascii="宋体" w:hAnsi="宋体"/>
          <w:szCs w:val="32"/>
        </w:rPr>
        <w:t>1</w:t>
      </w:r>
      <w:r>
        <w:rPr>
          <w:rFonts w:hint="eastAsia" w:ascii="宋体" w:hAnsi="宋体"/>
          <w:szCs w:val="32"/>
        </w:rPr>
        <w:t>类新药、国家保密处方、中药保护品种一级、过保护期的专利药品、获得国家科学技术奖二等奖以上的药品、通过质量一致性评价的仿制药品、国家重大新药创制科技重大专项的药品、获得美国、欧盟（英、德、法）、澳大利亚及日本制剂认证药品、香港医院管理局采购药品、首次仿制专利的药品。</w:t>
      </w:r>
    </w:p>
    <w:p>
      <w:pPr>
        <w:spacing w:line="360" w:lineRule="auto"/>
        <w:ind w:firstLine="31680" w:firstLineChars="200"/>
        <w:rPr>
          <w:rFonts w:ascii="宋体" w:eastAsia="宋体"/>
          <w:szCs w:val="32"/>
        </w:rPr>
      </w:pPr>
      <w:r>
        <w:rPr>
          <w:rFonts w:hint="eastAsia" w:ascii="宋体" w:hAnsi="宋体"/>
          <w:szCs w:val="32"/>
        </w:rPr>
        <w:t>第二竞价组：中药保护品种二级、获得</w:t>
      </w:r>
      <w:r>
        <w:rPr>
          <w:rFonts w:ascii="宋体" w:hAnsi="宋体"/>
          <w:szCs w:val="32"/>
        </w:rPr>
        <w:t xml:space="preserve"> </w:t>
      </w:r>
      <w:r>
        <w:rPr>
          <w:rFonts w:hint="eastAsia" w:ascii="宋体" w:hAnsi="宋体"/>
          <w:szCs w:val="32"/>
        </w:rPr>
        <w:t>“国家重点新产品”证书的产品、</w:t>
      </w:r>
      <w:r>
        <w:rPr>
          <w:rFonts w:ascii="宋体" w:hAnsi="宋体"/>
          <w:szCs w:val="32"/>
        </w:rPr>
        <w:t>2014</w:t>
      </w:r>
      <w:r>
        <w:rPr>
          <w:rFonts w:hint="eastAsia" w:ascii="宋体" w:hAnsi="宋体"/>
          <w:szCs w:val="32"/>
        </w:rPr>
        <w:t>年工信部工业企业法人单位按医药工业主营业务收入排名前</w:t>
      </w:r>
      <w:r>
        <w:rPr>
          <w:rFonts w:ascii="宋体" w:hAnsi="宋体"/>
          <w:szCs w:val="32"/>
        </w:rPr>
        <w:t>100</w:t>
      </w:r>
      <w:r>
        <w:rPr>
          <w:rFonts w:hint="eastAsia" w:ascii="宋体" w:hAnsi="宋体"/>
          <w:szCs w:val="32"/>
        </w:rPr>
        <w:t>位企业生产的药品、</w:t>
      </w:r>
      <w:r>
        <w:rPr>
          <w:rFonts w:ascii="宋体" w:hAnsi="宋体"/>
          <w:szCs w:val="32"/>
        </w:rPr>
        <w:t>2014</w:t>
      </w:r>
      <w:r>
        <w:rPr>
          <w:rFonts w:hint="eastAsia" w:ascii="宋体" w:hAnsi="宋体"/>
          <w:szCs w:val="32"/>
        </w:rPr>
        <w:t>年</w:t>
      </w:r>
      <w:r>
        <w:rPr>
          <w:rFonts w:ascii="宋体" w:hAnsi="宋体"/>
          <w:szCs w:val="32"/>
        </w:rPr>
        <w:t>6</w:t>
      </w:r>
      <w:r>
        <w:rPr>
          <w:rFonts w:hint="eastAsia" w:ascii="宋体" w:hAnsi="宋体"/>
          <w:szCs w:val="32"/>
        </w:rPr>
        <w:t>月</w:t>
      </w:r>
      <w:r>
        <w:rPr>
          <w:rFonts w:ascii="宋体" w:hAnsi="宋体"/>
          <w:szCs w:val="32"/>
        </w:rPr>
        <w:t>1</w:t>
      </w:r>
      <w:r>
        <w:rPr>
          <w:rFonts w:hint="eastAsia" w:ascii="宋体" w:hAnsi="宋体"/>
          <w:szCs w:val="32"/>
        </w:rPr>
        <w:t>日至</w:t>
      </w:r>
      <w:r>
        <w:rPr>
          <w:rFonts w:ascii="宋体" w:hAnsi="宋体"/>
          <w:szCs w:val="32"/>
        </w:rPr>
        <w:t>2015</w:t>
      </w:r>
      <w:r>
        <w:rPr>
          <w:rFonts w:hint="eastAsia" w:ascii="宋体" w:hAnsi="宋体"/>
          <w:szCs w:val="32"/>
        </w:rPr>
        <w:t>年</w:t>
      </w:r>
      <w:r>
        <w:rPr>
          <w:rFonts w:ascii="宋体" w:hAnsi="宋体"/>
          <w:szCs w:val="32"/>
        </w:rPr>
        <w:t>5</w:t>
      </w:r>
      <w:r>
        <w:rPr>
          <w:rFonts w:hint="eastAsia" w:ascii="宋体" w:hAnsi="宋体"/>
          <w:szCs w:val="32"/>
        </w:rPr>
        <w:t>月</w:t>
      </w:r>
      <w:r>
        <w:rPr>
          <w:rFonts w:ascii="宋体" w:hAnsi="宋体"/>
          <w:szCs w:val="32"/>
        </w:rPr>
        <w:t>31</w:t>
      </w:r>
      <w:r>
        <w:rPr>
          <w:rFonts w:hint="eastAsia" w:ascii="宋体" w:hAnsi="宋体"/>
          <w:szCs w:val="32"/>
        </w:rPr>
        <w:t>日我省网上集中采购金额排名前</w:t>
      </w:r>
      <w:r>
        <w:rPr>
          <w:rFonts w:ascii="宋体" w:hAnsi="宋体"/>
          <w:szCs w:val="32"/>
        </w:rPr>
        <w:t>100</w:t>
      </w:r>
      <w:r>
        <w:rPr>
          <w:rFonts w:hint="eastAsia" w:ascii="宋体" w:hAnsi="宋体"/>
          <w:szCs w:val="32"/>
        </w:rPr>
        <w:t>位企业生产的药品。</w:t>
      </w:r>
    </w:p>
    <w:p>
      <w:pPr>
        <w:ind w:firstLine="31680" w:firstLineChars="200"/>
        <w:rPr>
          <w:rFonts w:ascii="宋体" w:eastAsia="宋体"/>
          <w:szCs w:val="32"/>
        </w:rPr>
      </w:pPr>
      <w:r>
        <w:rPr>
          <w:rFonts w:hint="eastAsia" w:ascii="宋体" w:hAnsi="宋体"/>
          <w:szCs w:val="32"/>
        </w:rPr>
        <w:t>第三竞价组：其他通过</w:t>
      </w:r>
      <w:r>
        <w:rPr>
          <w:rFonts w:ascii="宋体" w:hAnsi="宋体"/>
          <w:szCs w:val="32"/>
        </w:rPr>
        <w:t>GMP</w:t>
      </w:r>
      <w:r>
        <w:rPr>
          <w:rFonts w:hint="eastAsia" w:ascii="宋体" w:hAnsi="宋体"/>
          <w:szCs w:val="32"/>
        </w:rPr>
        <w:t>认证企业生产的药品和一般进口药品。</w:t>
      </w:r>
    </w:p>
    <w:p>
      <w:pPr>
        <w:ind w:firstLine="31680" w:firstLineChars="200"/>
        <w:rPr>
          <w:rFonts w:ascii="宋体" w:eastAsia="宋体" w:cs="宋体"/>
          <w:kern w:val="0"/>
          <w:szCs w:val="32"/>
        </w:rPr>
      </w:pPr>
      <w:r>
        <w:rPr>
          <w:rFonts w:hint="eastAsia" w:ascii="宋体" w:hAnsi="宋体"/>
          <w:szCs w:val="32"/>
        </w:rPr>
        <w:t>同一产品同时满足多个竞价组的，按以上顺序依次予以划分。</w:t>
      </w:r>
    </w:p>
    <w:p>
      <w:pPr>
        <w:ind w:firstLine="31680" w:firstLineChars="200"/>
        <w:rPr>
          <w:rFonts w:ascii="宋体" w:hAnsi="宋体" w:eastAsia="楷体" w:cs="宋体"/>
          <w:kern w:val="0"/>
          <w:szCs w:val="32"/>
        </w:rPr>
      </w:pPr>
      <w:r>
        <w:rPr>
          <w:rFonts w:hint="eastAsia" w:ascii="宋体" w:hAnsi="宋体" w:eastAsia="黑体" w:cs="黑体"/>
          <w:kern w:val="0"/>
          <w:szCs w:val="32"/>
        </w:rPr>
        <w:t>三、评审办法</w:t>
      </w:r>
    </w:p>
    <w:p>
      <w:pPr>
        <w:ind w:firstLine="31680" w:firstLineChars="200"/>
        <w:rPr>
          <w:rFonts w:ascii="宋体" w:eastAsia="宋体"/>
          <w:color w:val="FF0000"/>
          <w:szCs w:val="32"/>
        </w:rPr>
      </w:pPr>
      <w:r>
        <w:rPr>
          <w:rFonts w:hint="eastAsia" w:ascii="宋体" w:hAnsi="宋体"/>
          <w:szCs w:val="32"/>
        </w:rPr>
        <w:t>同一评审单元投标产品</w:t>
      </w:r>
      <w:r>
        <w:rPr>
          <w:rFonts w:ascii="宋体" w:hAnsi="宋体"/>
          <w:szCs w:val="32"/>
        </w:rPr>
        <w:t>3</w:t>
      </w:r>
      <w:r>
        <w:rPr>
          <w:rFonts w:hint="eastAsia" w:ascii="宋体" w:hAnsi="宋体"/>
          <w:szCs w:val="32"/>
        </w:rPr>
        <w:t>个及以上的竞价产品，采用“双信封”方式评审。首先对合格企业的经济技术标进行评审，然后对经济技术标评审入围的产品进行商务标评审，并根据规则确定中标产品及候选中标产品。</w:t>
      </w:r>
    </w:p>
    <w:p>
      <w:pPr>
        <w:ind w:firstLine="31680" w:firstLineChars="200"/>
        <w:rPr>
          <w:rFonts w:ascii="宋体" w:eastAsia="宋体"/>
          <w:szCs w:val="32"/>
        </w:rPr>
      </w:pPr>
      <w:r>
        <w:rPr>
          <w:rFonts w:hint="eastAsia" w:ascii="宋体" w:hAnsi="宋体"/>
          <w:szCs w:val="32"/>
        </w:rPr>
        <w:t>同一评审单元投标产品</w:t>
      </w:r>
      <w:r>
        <w:rPr>
          <w:rFonts w:ascii="宋体" w:hAnsi="宋体"/>
          <w:szCs w:val="32"/>
        </w:rPr>
        <w:t>1-2</w:t>
      </w:r>
      <w:r>
        <w:rPr>
          <w:rFonts w:hint="eastAsia" w:ascii="宋体" w:hAnsi="宋体"/>
          <w:szCs w:val="32"/>
        </w:rPr>
        <w:t>个的议价产品，采用集中议价的方式评审。</w:t>
      </w:r>
    </w:p>
    <w:p>
      <w:pPr>
        <w:ind w:firstLine="31680" w:firstLineChars="200"/>
        <w:rPr>
          <w:rFonts w:ascii="宋体" w:hAnsi="宋体" w:eastAsia="楷体" w:cs="宋体"/>
          <w:kern w:val="0"/>
          <w:szCs w:val="32"/>
        </w:rPr>
      </w:pPr>
      <w:r>
        <w:rPr>
          <w:rFonts w:hint="eastAsia" w:ascii="宋体" w:hAnsi="宋体" w:eastAsia="楷体" w:cs="宋体"/>
          <w:kern w:val="0"/>
          <w:szCs w:val="32"/>
        </w:rPr>
        <w:t>（一）经济技术标评审</w:t>
      </w:r>
    </w:p>
    <w:p>
      <w:pPr>
        <w:pStyle w:val="17"/>
        <w:spacing w:line="360" w:lineRule="auto"/>
        <w:ind w:firstLine="31680" w:firstLineChars="200"/>
        <w:rPr>
          <w:rFonts w:hAnsi="宋体" w:cs="宋体"/>
          <w:kern w:val="0"/>
          <w:sz w:val="32"/>
          <w:szCs w:val="32"/>
        </w:rPr>
      </w:pPr>
      <w:r>
        <w:rPr>
          <w:rFonts w:hint="eastAsia" w:hAnsi="宋体" w:cs="宋体"/>
          <w:kern w:val="0"/>
          <w:sz w:val="32"/>
          <w:szCs w:val="32"/>
        </w:rPr>
        <w:t>主要对企业的药品生产质量管理规范</w:t>
      </w:r>
      <w:r>
        <w:rPr>
          <w:rFonts w:hAnsi="宋体" w:cs="宋体"/>
          <w:kern w:val="0"/>
          <w:sz w:val="32"/>
          <w:szCs w:val="32"/>
        </w:rPr>
        <w:t>(GMP)</w:t>
      </w:r>
      <w:r>
        <w:rPr>
          <w:rFonts w:hint="eastAsia" w:hAnsi="宋体" w:cs="宋体"/>
          <w:kern w:val="0"/>
          <w:sz w:val="32"/>
          <w:szCs w:val="32"/>
        </w:rPr>
        <w:t>资质认证、药品质量抽验抽查情况、生产规模、配送能力、销售额、市场信誉、电子监管能力等指标，采用定量评价的方法进行评审。</w:t>
      </w:r>
      <w:r>
        <w:rPr>
          <w:rFonts w:hAnsi="宋体" w:cs="宋体"/>
          <w:kern w:val="0"/>
          <w:sz w:val="32"/>
          <w:szCs w:val="32"/>
        </w:rPr>
        <w:t>(</w:t>
      </w:r>
      <w:r>
        <w:rPr>
          <w:rFonts w:hint="eastAsia" w:hAnsi="宋体" w:cs="宋体"/>
          <w:kern w:val="0"/>
          <w:sz w:val="32"/>
          <w:szCs w:val="32"/>
        </w:rPr>
        <w:t>评标体系详见附件</w:t>
      </w:r>
      <w:r>
        <w:rPr>
          <w:rFonts w:hAnsi="宋体" w:cs="宋体"/>
          <w:kern w:val="0"/>
          <w:sz w:val="32"/>
          <w:szCs w:val="32"/>
        </w:rPr>
        <w:t>3)</w:t>
      </w:r>
    </w:p>
    <w:p>
      <w:pPr>
        <w:pStyle w:val="17"/>
        <w:spacing w:line="360" w:lineRule="auto"/>
        <w:ind w:firstLine="31680" w:firstLineChars="200"/>
        <w:rPr>
          <w:rFonts w:hAnsi="宋体" w:cs="宋体"/>
          <w:kern w:val="0"/>
          <w:sz w:val="32"/>
          <w:szCs w:val="32"/>
        </w:rPr>
      </w:pPr>
      <w:r>
        <w:rPr>
          <w:rFonts w:hint="eastAsia" w:hAnsi="宋体" w:cs="宋体"/>
          <w:kern w:val="0"/>
          <w:sz w:val="32"/>
          <w:szCs w:val="32"/>
        </w:rPr>
        <w:t>按照经济技术标得分从高到低确定进入商务标评审产品。通过经济技术标评审的产品数量见下表：</w:t>
      </w:r>
    </w:p>
    <w:tbl>
      <w:tblPr>
        <w:tblStyle w:val="10"/>
        <w:tblW w:w="8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3508" w:type="dxa"/>
            <w:vAlign w:val="center"/>
          </w:tcPr>
          <w:p>
            <w:pPr>
              <w:spacing w:line="520" w:lineRule="exact"/>
              <w:jc w:val="center"/>
              <w:rPr>
                <w:rFonts w:ascii="宋体" w:hAnsi="宋体" w:eastAsia="仿宋" w:cs="宋体"/>
                <w:b/>
                <w:kern w:val="0"/>
                <w:sz w:val="24"/>
              </w:rPr>
            </w:pPr>
            <w:r>
              <w:rPr>
                <w:rFonts w:hint="eastAsia" w:ascii="宋体" w:hAnsi="宋体" w:eastAsia="仿宋"/>
                <w:bCs/>
                <w:sz w:val="24"/>
              </w:rPr>
              <w:t>经济</w:t>
            </w:r>
            <w:r>
              <w:rPr>
                <w:rFonts w:hint="eastAsia" w:ascii="宋体" w:hAnsi="宋体" w:eastAsia="仿宋" w:cs="宋体"/>
                <w:kern w:val="0"/>
                <w:sz w:val="24"/>
              </w:rPr>
              <w:t>技术标评审数</w:t>
            </w:r>
          </w:p>
        </w:tc>
        <w:tc>
          <w:tcPr>
            <w:tcW w:w="4863" w:type="dxa"/>
            <w:vAlign w:val="center"/>
          </w:tcPr>
          <w:p>
            <w:pPr>
              <w:spacing w:line="520" w:lineRule="exact"/>
              <w:jc w:val="center"/>
              <w:rPr>
                <w:rFonts w:ascii="宋体" w:hAnsi="宋体" w:eastAsia="仿宋" w:cs="宋体"/>
                <w:kern w:val="0"/>
                <w:sz w:val="24"/>
              </w:rPr>
            </w:pPr>
            <w:r>
              <w:rPr>
                <w:rFonts w:hint="eastAsia" w:ascii="宋体" w:hAnsi="宋体" w:eastAsia="仿宋"/>
                <w:sz w:val="24"/>
              </w:rPr>
              <w:t>通过经济技术标评审</w:t>
            </w:r>
            <w:r>
              <w:rPr>
                <w:rFonts w:hint="eastAsia" w:ascii="宋体" w:hAnsi="宋体" w:eastAsia="仿宋" w:cs="宋体"/>
                <w:kern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3508" w:type="dxa"/>
            <w:vAlign w:val="center"/>
          </w:tcPr>
          <w:p>
            <w:pPr>
              <w:spacing w:line="520" w:lineRule="exact"/>
              <w:jc w:val="center"/>
              <w:rPr>
                <w:rFonts w:ascii="宋体" w:hAnsi="宋体" w:eastAsia="仿宋"/>
                <w:bCs/>
                <w:sz w:val="24"/>
              </w:rPr>
            </w:pPr>
            <w:r>
              <w:rPr>
                <w:rFonts w:ascii="宋体" w:hAnsi="宋体" w:eastAsia="仿宋"/>
                <w:bCs/>
                <w:sz w:val="24"/>
              </w:rPr>
              <w:t>3-4</w:t>
            </w:r>
          </w:p>
        </w:tc>
        <w:tc>
          <w:tcPr>
            <w:tcW w:w="4863" w:type="dxa"/>
            <w:vAlign w:val="center"/>
          </w:tcPr>
          <w:p>
            <w:pPr>
              <w:spacing w:line="520" w:lineRule="exact"/>
              <w:jc w:val="center"/>
              <w:rPr>
                <w:rFonts w:ascii="宋体" w:hAnsi="宋体" w:eastAsia="仿宋"/>
                <w:sz w:val="24"/>
              </w:rPr>
            </w:pPr>
            <w:r>
              <w:rPr>
                <w:rFonts w:ascii="宋体" w:hAnsi="宋体"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3508" w:type="dxa"/>
            <w:vAlign w:val="center"/>
          </w:tcPr>
          <w:p>
            <w:pPr>
              <w:spacing w:line="520" w:lineRule="exact"/>
              <w:jc w:val="center"/>
              <w:rPr>
                <w:rFonts w:ascii="宋体" w:hAnsi="宋体" w:eastAsia="仿宋"/>
                <w:bCs/>
                <w:sz w:val="24"/>
              </w:rPr>
            </w:pPr>
            <w:r>
              <w:rPr>
                <w:rFonts w:ascii="宋体" w:hAnsi="宋体" w:eastAsia="仿宋"/>
                <w:bCs/>
                <w:sz w:val="24"/>
              </w:rPr>
              <w:t>5-6</w:t>
            </w:r>
          </w:p>
        </w:tc>
        <w:tc>
          <w:tcPr>
            <w:tcW w:w="4863" w:type="dxa"/>
            <w:vAlign w:val="center"/>
          </w:tcPr>
          <w:p>
            <w:pPr>
              <w:spacing w:line="520" w:lineRule="exact"/>
              <w:jc w:val="center"/>
              <w:rPr>
                <w:rFonts w:ascii="宋体" w:hAnsi="宋体" w:eastAsia="仿宋"/>
                <w:sz w:val="24"/>
              </w:rPr>
            </w:pPr>
            <w:r>
              <w:rPr>
                <w:rFonts w:ascii="宋体" w:hAnsi="宋体"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3508" w:type="dxa"/>
            <w:vAlign w:val="center"/>
          </w:tcPr>
          <w:p>
            <w:pPr>
              <w:spacing w:line="520" w:lineRule="exact"/>
              <w:jc w:val="center"/>
              <w:rPr>
                <w:rFonts w:ascii="宋体" w:hAnsi="宋体" w:eastAsia="仿宋" w:cs="宋体"/>
                <w:kern w:val="0"/>
                <w:sz w:val="24"/>
              </w:rPr>
            </w:pPr>
            <w:r>
              <w:rPr>
                <w:rFonts w:ascii="宋体" w:hAnsi="宋体" w:eastAsia="仿宋" w:cs="宋体"/>
                <w:kern w:val="0"/>
                <w:sz w:val="24"/>
              </w:rPr>
              <w:t>7-8</w:t>
            </w:r>
          </w:p>
        </w:tc>
        <w:tc>
          <w:tcPr>
            <w:tcW w:w="4863" w:type="dxa"/>
            <w:vAlign w:val="center"/>
          </w:tcPr>
          <w:p>
            <w:pPr>
              <w:spacing w:line="520" w:lineRule="exact"/>
              <w:jc w:val="center"/>
              <w:rPr>
                <w:rFonts w:ascii="宋体" w:hAnsi="宋体" w:eastAsia="仿宋" w:cs="宋体"/>
                <w:kern w:val="0"/>
                <w:sz w:val="24"/>
              </w:rPr>
            </w:pPr>
            <w:r>
              <w:rPr>
                <w:rFonts w:ascii="宋体" w:hAnsi="宋体"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3508" w:type="dxa"/>
            <w:vAlign w:val="center"/>
          </w:tcPr>
          <w:p>
            <w:pPr>
              <w:spacing w:line="520" w:lineRule="exact"/>
              <w:jc w:val="center"/>
              <w:rPr>
                <w:rFonts w:ascii="宋体" w:hAnsi="宋体" w:eastAsia="仿宋" w:cs="宋体"/>
                <w:kern w:val="0"/>
                <w:sz w:val="24"/>
              </w:rPr>
            </w:pPr>
            <w:r>
              <w:rPr>
                <w:rFonts w:ascii="宋体" w:hAnsi="宋体" w:eastAsia="仿宋" w:cs="宋体"/>
                <w:kern w:val="0"/>
                <w:sz w:val="24"/>
              </w:rPr>
              <w:t>9-10</w:t>
            </w:r>
          </w:p>
        </w:tc>
        <w:tc>
          <w:tcPr>
            <w:tcW w:w="4863" w:type="dxa"/>
            <w:vAlign w:val="center"/>
          </w:tcPr>
          <w:p>
            <w:pPr>
              <w:spacing w:line="520" w:lineRule="exact"/>
              <w:jc w:val="center"/>
              <w:rPr>
                <w:rFonts w:ascii="宋体" w:hAnsi="宋体" w:eastAsia="仿宋" w:cs="宋体"/>
                <w:kern w:val="0"/>
                <w:sz w:val="24"/>
              </w:rPr>
            </w:pPr>
            <w:r>
              <w:rPr>
                <w:rFonts w:ascii="宋体" w:hAnsi="宋体" w:eastAsia="仿宋"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3508" w:type="dxa"/>
            <w:vAlign w:val="center"/>
          </w:tcPr>
          <w:p>
            <w:pPr>
              <w:spacing w:line="520" w:lineRule="exact"/>
              <w:jc w:val="center"/>
              <w:rPr>
                <w:rFonts w:ascii="宋体" w:hAnsi="宋体" w:eastAsia="仿宋" w:cs="宋体"/>
                <w:kern w:val="0"/>
                <w:sz w:val="24"/>
              </w:rPr>
            </w:pPr>
            <w:r>
              <w:rPr>
                <w:rFonts w:hint="eastAsia" w:ascii="宋体" w:hAnsi="宋体" w:eastAsia="仿宋" w:cs="宋体"/>
                <w:kern w:val="0"/>
                <w:sz w:val="24"/>
              </w:rPr>
              <w:t>＞</w:t>
            </w:r>
            <w:r>
              <w:rPr>
                <w:rFonts w:ascii="宋体" w:hAnsi="宋体" w:eastAsia="仿宋" w:cs="宋体"/>
                <w:kern w:val="0"/>
                <w:sz w:val="24"/>
              </w:rPr>
              <w:t>10</w:t>
            </w:r>
            <w:r>
              <w:rPr>
                <w:rFonts w:hint="eastAsia" w:ascii="宋体" w:hAnsi="宋体" w:eastAsia="仿宋" w:cs="宋体"/>
                <w:kern w:val="0"/>
                <w:sz w:val="24"/>
              </w:rPr>
              <w:t>的，每增加</w:t>
            </w:r>
            <w:r>
              <w:rPr>
                <w:rFonts w:ascii="宋体" w:hAnsi="宋体" w:eastAsia="仿宋" w:cs="宋体"/>
                <w:kern w:val="0"/>
                <w:sz w:val="24"/>
              </w:rPr>
              <w:t>3</w:t>
            </w:r>
            <w:r>
              <w:rPr>
                <w:rFonts w:hint="eastAsia" w:ascii="宋体" w:hAnsi="宋体" w:eastAsia="仿宋" w:cs="宋体"/>
                <w:kern w:val="0"/>
                <w:sz w:val="24"/>
              </w:rPr>
              <w:t>个产品</w:t>
            </w:r>
            <w:r>
              <w:rPr>
                <w:rFonts w:ascii="宋体" w:hAnsi="宋体" w:eastAsia="仿宋" w:cs="宋体"/>
                <w:kern w:val="0"/>
                <w:sz w:val="24"/>
              </w:rPr>
              <w:t xml:space="preserve"> </w:t>
            </w:r>
          </w:p>
        </w:tc>
        <w:tc>
          <w:tcPr>
            <w:tcW w:w="4863" w:type="dxa"/>
            <w:vAlign w:val="center"/>
          </w:tcPr>
          <w:p>
            <w:pPr>
              <w:spacing w:line="520" w:lineRule="exact"/>
              <w:jc w:val="center"/>
              <w:rPr>
                <w:rFonts w:ascii="宋体" w:hAnsi="宋体" w:eastAsia="仿宋" w:cs="宋体"/>
                <w:kern w:val="0"/>
                <w:sz w:val="24"/>
              </w:rPr>
            </w:pPr>
            <w:r>
              <w:rPr>
                <w:rFonts w:hint="eastAsia" w:ascii="宋体" w:hAnsi="宋体" w:eastAsia="仿宋" w:cs="宋体"/>
                <w:kern w:val="0"/>
                <w:sz w:val="24"/>
              </w:rPr>
              <w:t>增加</w:t>
            </w:r>
            <w:r>
              <w:rPr>
                <w:rFonts w:ascii="宋体" w:hAnsi="宋体" w:eastAsia="仿宋" w:cs="宋体"/>
                <w:kern w:val="0"/>
                <w:sz w:val="24"/>
              </w:rPr>
              <w:t>1</w:t>
            </w:r>
            <w:r>
              <w:rPr>
                <w:rFonts w:hint="eastAsia" w:ascii="宋体" w:hAnsi="宋体" w:eastAsia="仿宋" w:cs="宋体"/>
                <w:kern w:val="0"/>
                <w:sz w:val="24"/>
              </w:rPr>
              <w:t>个，最多不超过</w:t>
            </w:r>
            <w:r>
              <w:rPr>
                <w:rFonts w:ascii="宋体" w:hAnsi="宋体" w:eastAsia="仿宋" w:cs="宋体"/>
                <w:kern w:val="0"/>
                <w:sz w:val="24"/>
              </w:rPr>
              <w:t>10</w:t>
            </w:r>
            <w:r>
              <w:rPr>
                <w:rFonts w:hint="eastAsia" w:ascii="宋体" w:hAnsi="宋体" w:eastAsia="仿宋" w:cs="宋体"/>
                <w:kern w:val="0"/>
                <w:sz w:val="24"/>
              </w:rPr>
              <w:t>个</w:t>
            </w:r>
          </w:p>
        </w:tc>
      </w:tr>
    </w:tbl>
    <w:p>
      <w:pPr>
        <w:autoSpaceDE w:val="0"/>
        <w:autoSpaceDN w:val="0"/>
        <w:spacing w:line="360" w:lineRule="auto"/>
        <w:ind w:firstLine="31680" w:firstLineChars="200"/>
        <w:jc w:val="left"/>
        <w:rPr>
          <w:rFonts w:hAnsi="宋体" w:cs="宋体"/>
          <w:kern w:val="0"/>
          <w:szCs w:val="32"/>
        </w:rPr>
      </w:pPr>
      <w:r>
        <w:rPr>
          <w:rFonts w:hint="eastAsia" w:hAnsi="宋体" w:cs="宋体"/>
          <w:kern w:val="0"/>
          <w:szCs w:val="32"/>
        </w:rPr>
        <w:t>得分相同的，同时进入商务标评审。</w:t>
      </w:r>
    </w:p>
    <w:p>
      <w:pPr>
        <w:autoSpaceDE w:val="0"/>
        <w:autoSpaceDN w:val="0"/>
        <w:spacing w:line="360" w:lineRule="auto"/>
        <w:ind w:firstLine="31680" w:firstLineChars="200"/>
        <w:jc w:val="left"/>
        <w:rPr>
          <w:rFonts w:ascii="宋体" w:hAnsi="宋体" w:eastAsia="楷体" w:cs="宋体"/>
          <w:kern w:val="0"/>
          <w:szCs w:val="32"/>
        </w:rPr>
      </w:pPr>
      <w:r>
        <w:rPr>
          <w:rFonts w:hint="eastAsia" w:ascii="宋体" w:hAnsi="宋体" w:eastAsia="楷体" w:cs="宋体"/>
          <w:kern w:val="0"/>
          <w:szCs w:val="32"/>
        </w:rPr>
        <w:t>（二）商务标评审</w:t>
      </w:r>
    </w:p>
    <w:p>
      <w:pPr>
        <w:adjustRightInd w:val="0"/>
        <w:snapToGrid w:val="0"/>
        <w:spacing w:line="580" w:lineRule="exact"/>
        <w:ind w:firstLine="31680" w:firstLineChars="200"/>
        <w:rPr>
          <w:rFonts w:ascii="宋体" w:eastAsia="宋体" w:cs="宋体"/>
          <w:kern w:val="0"/>
          <w:szCs w:val="32"/>
        </w:rPr>
      </w:pPr>
      <w:r>
        <w:rPr>
          <w:rFonts w:hint="eastAsia" w:ascii="宋体" w:hAnsi="宋体" w:cs="宋体"/>
          <w:kern w:val="0"/>
          <w:szCs w:val="32"/>
        </w:rPr>
        <w:t>同一评审单元按照报价从低到高的顺序确定</w:t>
      </w:r>
      <w:r>
        <w:rPr>
          <w:rFonts w:ascii="宋体" w:hAnsi="宋体" w:cs="宋体"/>
          <w:kern w:val="0"/>
          <w:szCs w:val="32"/>
        </w:rPr>
        <w:t>2</w:t>
      </w:r>
      <w:r>
        <w:rPr>
          <w:rFonts w:hint="eastAsia" w:ascii="宋体" w:hAnsi="宋体" w:cs="宋体"/>
          <w:kern w:val="0"/>
          <w:szCs w:val="32"/>
        </w:rPr>
        <w:t>个拟中标产品，如报价相同，经济技术标得分高者为拟中标产品；如经济技术标得分仍相同，销售额大的为拟中标产品。其它入围产品按照报价从低到高的顺序确定</w:t>
      </w:r>
      <w:r>
        <w:rPr>
          <w:rFonts w:ascii="宋体" w:hAnsi="宋体" w:cs="宋体"/>
          <w:kern w:val="0"/>
          <w:szCs w:val="32"/>
        </w:rPr>
        <w:t>1-2</w:t>
      </w:r>
      <w:r>
        <w:rPr>
          <w:rFonts w:hint="eastAsia" w:ascii="宋体" w:hAnsi="宋体" w:cs="宋体"/>
          <w:kern w:val="0"/>
          <w:szCs w:val="32"/>
        </w:rPr>
        <w:t>个候选中标产品。拟中标产品放弃、被取消资格或不能正常供货等情况的，从候选中标产品中依次递补。</w:t>
      </w:r>
    </w:p>
    <w:p>
      <w:pPr>
        <w:adjustRightInd w:val="0"/>
        <w:snapToGrid w:val="0"/>
        <w:spacing w:line="580" w:lineRule="exact"/>
        <w:ind w:firstLine="31680" w:firstLineChars="200"/>
        <w:rPr>
          <w:rFonts w:ascii="宋体" w:eastAsia="宋体" w:cs="宋体"/>
          <w:kern w:val="0"/>
          <w:szCs w:val="32"/>
        </w:rPr>
      </w:pPr>
      <w:r>
        <w:rPr>
          <w:rFonts w:hint="eastAsia" w:ascii="宋体" w:hAnsi="宋体" w:cs="宋体"/>
          <w:kern w:val="0"/>
          <w:szCs w:val="32"/>
        </w:rPr>
        <w:t>采购目录中未明确规格的，以申报产品最高日治疗费用作为产品报价。其中，橡胶膏剂等按单位面积价格，软膏剂等按单位质量价格，外用液体制剂、滴眼液等按单位容量</w:t>
      </w:r>
      <w:r>
        <w:rPr>
          <w:rFonts w:ascii="宋体" w:hAnsi="宋体" w:cs="宋体"/>
          <w:kern w:val="0"/>
          <w:szCs w:val="32"/>
        </w:rPr>
        <w:t>(ml)</w:t>
      </w:r>
      <w:r>
        <w:rPr>
          <w:rFonts w:hint="eastAsia" w:ascii="宋体" w:hAnsi="宋体" w:cs="宋体"/>
          <w:kern w:val="0"/>
          <w:szCs w:val="32"/>
        </w:rPr>
        <w:t>价格作为产品报价。</w:t>
      </w:r>
    </w:p>
    <w:p>
      <w:pPr>
        <w:adjustRightInd w:val="0"/>
        <w:snapToGrid w:val="0"/>
        <w:spacing w:line="580" w:lineRule="exact"/>
        <w:ind w:firstLine="630"/>
        <w:rPr>
          <w:rFonts w:ascii="宋体" w:eastAsia="宋体" w:cs="宋体"/>
          <w:kern w:val="0"/>
          <w:szCs w:val="32"/>
        </w:rPr>
      </w:pPr>
      <w:r>
        <w:rPr>
          <w:rFonts w:hint="eastAsia" w:ascii="宋体" w:hAnsi="宋体" w:cs="宋体"/>
          <w:kern w:val="0"/>
          <w:szCs w:val="32"/>
        </w:rPr>
        <w:t>产品拟中标价不得高于其目前正在执行的全国各省级中标价中最低</w:t>
      </w:r>
      <w:r>
        <w:rPr>
          <w:rFonts w:ascii="宋体" w:hAnsi="宋体" w:cs="宋体"/>
          <w:kern w:val="0"/>
          <w:szCs w:val="32"/>
        </w:rPr>
        <w:t>5</w:t>
      </w:r>
      <w:r>
        <w:rPr>
          <w:rFonts w:hint="eastAsia" w:ascii="宋体" w:hAnsi="宋体" w:cs="宋体"/>
          <w:kern w:val="0"/>
          <w:szCs w:val="32"/>
        </w:rPr>
        <w:t>个省价格的算术平均价。</w:t>
      </w:r>
    </w:p>
    <w:p>
      <w:pPr>
        <w:ind w:firstLine="31680" w:firstLineChars="200"/>
        <w:rPr>
          <w:rFonts w:ascii="宋体" w:hAnsi="宋体" w:eastAsia="楷体" w:cs="宋体"/>
          <w:kern w:val="0"/>
          <w:szCs w:val="32"/>
        </w:rPr>
      </w:pPr>
      <w:r>
        <w:rPr>
          <w:rFonts w:hint="eastAsia" w:ascii="宋体" w:hAnsi="宋体" w:eastAsia="楷体" w:cs="宋体"/>
          <w:kern w:val="0"/>
          <w:szCs w:val="32"/>
        </w:rPr>
        <w:t>（三）议价评审</w:t>
      </w:r>
    </w:p>
    <w:p>
      <w:pPr>
        <w:ind w:firstLine="31680" w:firstLineChars="198"/>
        <w:rPr>
          <w:rFonts w:ascii="宋体" w:eastAsia="宋体"/>
          <w:szCs w:val="32"/>
        </w:rPr>
      </w:pPr>
      <w:r>
        <w:rPr>
          <w:rFonts w:hint="eastAsia" w:ascii="宋体" w:hAnsi="宋体"/>
          <w:szCs w:val="32"/>
        </w:rPr>
        <w:t>同一评审单元投标产品</w:t>
      </w:r>
      <w:r>
        <w:rPr>
          <w:rFonts w:ascii="宋体" w:hAnsi="宋体"/>
          <w:szCs w:val="32"/>
        </w:rPr>
        <w:t>1</w:t>
      </w:r>
      <w:r>
        <w:rPr>
          <w:rFonts w:ascii="宋体" w:eastAsia="宋体" w:cs="宋体"/>
          <w:kern w:val="0"/>
          <w:szCs w:val="32"/>
        </w:rPr>
        <w:t>-</w:t>
      </w:r>
      <w:r>
        <w:rPr>
          <w:rFonts w:ascii="宋体" w:hAnsi="宋体"/>
          <w:szCs w:val="32"/>
        </w:rPr>
        <w:t>2</w:t>
      </w:r>
      <w:r>
        <w:rPr>
          <w:rFonts w:hint="eastAsia" w:ascii="宋体" w:hAnsi="宋体"/>
          <w:szCs w:val="32"/>
        </w:rPr>
        <w:t>个的采用议价的方式评审，若议价成功即为中标产品，议价不成功，即废标。议价规则另行制定。</w:t>
      </w:r>
    </w:p>
    <w:p>
      <w:pPr>
        <w:ind w:firstLine="31680" w:firstLineChars="198"/>
        <w:rPr>
          <w:rFonts w:ascii="宋体" w:eastAsia="宋体"/>
          <w:szCs w:val="32"/>
        </w:rPr>
      </w:pPr>
      <w:r>
        <w:rPr>
          <w:rFonts w:hint="eastAsia" w:ascii="宋体" w:hAnsi="宋体"/>
          <w:szCs w:val="32"/>
        </w:rPr>
        <w:t>独家通用名、过保护期的专利产品不得高于全国各省级最低中标价格，且与全国价格联动，原则上以三个月为周期进行一次价格调整。</w:t>
      </w:r>
    </w:p>
    <w:p>
      <w:pPr>
        <w:ind w:firstLine="31680" w:firstLineChars="200"/>
        <w:rPr>
          <w:rFonts w:ascii="宋体" w:eastAsia="宋体" w:cs="宋体"/>
          <w:kern w:val="0"/>
          <w:szCs w:val="32"/>
        </w:rPr>
      </w:pPr>
      <w:r>
        <w:rPr>
          <w:rFonts w:hint="eastAsia" w:ascii="宋体" w:hAnsi="宋体" w:cs="宋体"/>
          <w:kern w:val="0"/>
          <w:szCs w:val="32"/>
        </w:rPr>
        <w:t>对纳入公开招标采购的产品，不同竞价组产品应保持合理价差关系，第二、三竞价组的产品中标价格不得高于前一竞价组产品中标价格。</w:t>
      </w:r>
    </w:p>
    <w:p>
      <w:pPr>
        <w:widowControl/>
        <w:jc w:val="left"/>
        <w:rPr>
          <w:rFonts w:ascii="宋体" w:eastAsia="宋体" w:cs="宋体"/>
          <w:kern w:val="0"/>
          <w:szCs w:val="32"/>
        </w:rPr>
      </w:pPr>
    </w:p>
    <w:p>
      <w:pPr>
        <w:spacing w:after="100" w:afterAutospacing="1"/>
        <w:ind w:firstLine="31680" w:firstLineChars="700"/>
        <w:rPr>
          <w:rFonts w:ascii="宋体" w:hAnsi="宋体" w:eastAsia="黑体" w:cs="宋体"/>
          <w:kern w:val="0"/>
          <w:sz w:val="36"/>
          <w:szCs w:val="36"/>
        </w:rPr>
      </w:pPr>
      <w:r>
        <w:rPr>
          <w:rFonts w:hint="eastAsia" w:ascii="宋体" w:hAnsi="宋体" w:eastAsia="黑体" w:cs="宋体"/>
          <w:kern w:val="0"/>
          <w:sz w:val="36"/>
          <w:szCs w:val="36"/>
        </w:rPr>
        <w:t>第六部分</w:t>
      </w:r>
      <w:r>
        <w:rPr>
          <w:rFonts w:ascii="宋体" w:hAnsi="宋体" w:eastAsia="黑体" w:cs="宋体"/>
          <w:kern w:val="0"/>
          <w:sz w:val="36"/>
          <w:szCs w:val="36"/>
        </w:rPr>
        <w:t xml:space="preserve">  </w:t>
      </w:r>
      <w:r>
        <w:rPr>
          <w:rFonts w:hint="eastAsia" w:ascii="宋体" w:hAnsi="宋体" w:eastAsia="黑体" w:cs="宋体"/>
          <w:kern w:val="0"/>
          <w:sz w:val="36"/>
          <w:szCs w:val="36"/>
        </w:rPr>
        <w:t>集中挂网采购</w:t>
      </w:r>
    </w:p>
    <w:p>
      <w:pPr>
        <w:ind w:firstLine="31680" w:firstLineChars="200"/>
        <w:rPr>
          <w:rFonts w:ascii="宋体" w:hAnsi="宋体" w:eastAsia="黑体" w:cs="黑体"/>
          <w:kern w:val="0"/>
          <w:szCs w:val="32"/>
        </w:rPr>
      </w:pPr>
      <w:r>
        <w:rPr>
          <w:rFonts w:hint="eastAsia" w:ascii="宋体" w:hAnsi="宋体" w:eastAsia="黑体" w:cs="黑体"/>
          <w:kern w:val="0"/>
          <w:szCs w:val="32"/>
        </w:rPr>
        <w:t>一、挂网条件</w:t>
      </w:r>
    </w:p>
    <w:p>
      <w:pPr>
        <w:ind w:firstLine="31680" w:firstLineChars="200"/>
        <w:rPr>
          <w:rFonts w:ascii="宋体" w:eastAsia="宋体" w:cs="宋体"/>
          <w:kern w:val="0"/>
          <w:szCs w:val="32"/>
        </w:rPr>
      </w:pPr>
      <w:r>
        <w:rPr>
          <w:rFonts w:hint="eastAsia" w:ascii="宋体" w:hAnsi="宋体" w:cs="宋体"/>
          <w:kern w:val="0"/>
          <w:szCs w:val="32"/>
        </w:rPr>
        <w:t>纳入集中挂网采购范围的药品生产企业，本着自愿原则，按照要求递交申报材料。经资质审核合格且成功报价的产品均可在我省挂网采购。</w:t>
      </w:r>
    </w:p>
    <w:p>
      <w:pPr>
        <w:ind w:firstLine="31680" w:firstLineChars="200"/>
        <w:rPr>
          <w:rFonts w:ascii="宋体" w:eastAsia="宋体" w:cs="宋体"/>
          <w:kern w:val="0"/>
          <w:szCs w:val="32"/>
        </w:rPr>
      </w:pPr>
      <w:r>
        <w:rPr>
          <w:rFonts w:hint="eastAsia" w:ascii="宋体" w:hAnsi="宋体" w:eastAsia="黑体" w:cs="黑体"/>
          <w:kern w:val="0"/>
          <w:szCs w:val="32"/>
        </w:rPr>
        <w:t>二、采购方式</w:t>
      </w:r>
    </w:p>
    <w:p>
      <w:pPr>
        <w:ind w:firstLine="31680" w:firstLineChars="200"/>
        <w:rPr>
          <w:rFonts w:ascii="宋体" w:eastAsia="宋体" w:cs="宋体"/>
          <w:kern w:val="0"/>
          <w:szCs w:val="32"/>
        </w:rPr>
      </w:pPr>
      <w:r>
        <w:rPr>
          <w:rFonts w:hint="eastAsia" w:ascii="宋体" w:hAnsi="宋体" w:cs="宋体"/>
          <w:kern w:val="0"/>
          <w:szCs w:val="32"/>
        </w:rPr>
        <w:t>（一）</w:t>
      </w:r>
      <w:r>
        <w:rPr>
          <w:rFonts w:hint="eastAsia" w:ascii="宋体" w:hAnsi="宋体" w:cs="宋体"/>
          <w:kern w:val="0"/>
        </w:rPr>
        <w:t>省药采平台</w:t>
      </w:r>
      <w:r>
        <w:rPr>
          <w:rFonts w:hint="eastAsia" w:ascii="宋体" w:hAnsi="宋体" w:cs="宋体"/>
          <w:kern w:val="0"/>
          <w:szCs w:val="32"/>
        </w:rPr>
        <w:t>将企业报价、原挂网价格及其他省份中标价格、一定时期内我省医疗机构实际交易的平均价、最低价等参考信息及时显示。</w:t>
      </w:r>
    </w:p>
    <w:p>
      <w:pPr>
        <w:ind w:firstLine="31680" w:firstLineChars="200"/>
        <w:rPr>
          <w:rFonts w:ascii="宋体" w:eastAsia="宋体" w:cs="宋体"/>
          <w:kern w:val="0"/>
          <w:szCs w:val="32"/>
        </w:rPr>
      </w:pPr>
      <w:r>
        <w:rPr>
          <w:rFonts w:hint="eastAsia" w:ascii="宋体" w:hAnsi="宋体" w:cs="宋体"/>
          <w:kern w:val="0"/>
          <w:szCs w:val="32"/>
        </w:rPr>
        <w:t>（二）医疗机构根据公开招标采购同类产品的中标价格，结合</w:t>
      </w:r>
      <w:r>
        <w:rPr>
          <w:rFonts w:hint="eastAsia" w:ascii="宋体" w:hAnsi="宋体" w:cs="宋体"/>
          <w:kern w:val="0"/>
        </w:rPr>
        <w:t>省药采平台</w:t>
      </w:r>
      <w:r>
        <w:rPr>
          <w:rFonts w:hint="eastAsia" w:ascii="宋体" w:hAnsi="宋体" w:cs="宋体"/>
          <w:kern w:val="0"/>
          <w:szCs w:val="32"/>
        </w:rPr>
        <w:t>显示的参考价格信息，与企业合理议定成交价格。</w:t>
      </w:r>
    </w:p>
    <w:p>
      <w:pPr>
        <w:ind w:firstLine="31680" w:firstLineChars="200"/>
        <w:rPr>
          <w:rFonts w:ascii="宋体" w:eastAsia="宋体" w:cs="宋体"/>
          <w:kern w:val="0"/>
          <w:szCs w:val="32"/>
        </w:rPr>
      </w:pPr>
      <w:r>
        <w:rPr>
          <w:rFonts w:hint="eastAsia" w:ascii="宋体" w:hAnsi="宋体" w:cs="宋体"/>
          <w:kern w:val="0"/>
          <w:szCs w:val="32"/>
        </w:rPr>
        <w:t>（三）医疗机构必须通过省药采平台进行采购，并如实填报实际成交价格、交易量等信息。</w:t>
      </w:r>
    </w:p>
    <w:p>
      <w:pPr>
        <w:ind w:firstLine="31680" w:firstLineChars="200"/>
        <w:rPr>
          <w:rFonts w:ascii="宋体" w:eastAsia="宋体"/>
        </w:rPr>
      </w:pPr>
      <w:r>
        <w:rPr>
          <w:rFonts w:hint="eastAsia" w:ascii="宋体" w:hAnsi="宋体" w:cs="宋体"/>
          <w:kern w:val="0"/>
          <w:szCs w:val="32"/>
        </w:rPr>
        <w:t>（四）</w:t>
      </w:r>
      <w:r>
        <w:rPr>
          <w:rFonts w:hint="eastAsia" w:ascii="宋体" w:hAnsi="宋体"/>
        </w:rPr>
        <w:t>鼓励各地以市为单位组建药品采购联合体，发挥集中批量采购市场规模优势，实现带量采购，形成市级统一市场、统一价格。鼓励探索开展市级区域间联合采购。</w:t>
      </w:r>
    </w:p>
    <w:p>
      <w:pPr>
        <w:spacing w:afterLines="50" w:line="600" w:lineRule="exact"/>
        <w:jc w:val="center"/>
        <w:rPr>
          <w:rFonts w:ascii="宋体" w:hAnsi="宋体" w:eastAsia="宋体"/>
        </w:rPr>
      </w:pPr>
    </w:p>
    <w:p>
      <w:pPr>
        <w:spacing w:after="100" w:afterAutospacing="1"/>
        <w:jc w:val="center"/>
        <w:rPr>
          <w:rFonts w:ascii="宋体" w:hAnsi="宋体" w:eastAsia="黑体"/>
          <w:sz w:val="36"/>
          <w:szCs w:val="36"/>
        </w:rPr>
      </w:pPr>
      <w:r>
        <w:rPr>
          <w:rFonts w:hint="eastAsia" w:ascii="宋体" w:hAnsi="宋体" w:eastAsia="黑体"/>
          <w:sz w:val="36"/>
          <w:szCs w:val="36"/>
        </w:rPr>
        <w:t>第七部分</w:t>
      </w:r>
      <w:r>
        <w:rPr>
          <w:rFonts w:ascii="宋体" w:hAnsi="宋体" w:eastAsia="黑体"/>
          <w:sz w:val="36"/>
          <w:szCs w:val="36"/>
        </w:rPr>
        <w:t xml:space="preserve">  </w:t>
      </w:r>
      <w:r>
        <w:rPr>
          <w:rFonts w:hint="eastAsia" w:ascii="宋体" w:hAnsi="宋体" w:eastAsia="黑体"/>
          <w:sz w:val="36"/>
          <w:szCs w:val="36"/>
        </w:rPr>
        <w:t>公立医院改革试点城市药品采购</w:t>
      </w:r>
    </w:p>
    <w:p>
      <w:pPr>
        <w:spacing w:line="600" w:lineRule="exact"/>
        <w:ind w:firstLine="640"/>
        <w:rPr>
          <w:rFonts w:ascii="宋体" w:eastAsia="宋体"/>
          <w:szCs w:val="32"/>
        </w:rPr>
      </w:pPr>
      <w:r>
        <w:rPr>
          <w:rFonts w:hint="eastAsia" w:ascii="宋体" w:hAnsi="宋体"/>
          <w:szCs w:val="32"/>
        </w:rPr>
        <w:t>鼓励公立医院改革试点城市结合实际探索创新。允许试点城市以市为单位，在坚持统筹推进“三医联动”和“四个有利于”原则基础上，制定自行采购方案。试点城市制定的自行采购方案报省卫生计生委和国务院医改办备案。</w:t>
      </w:r>
    </w:p>
    <w:p>
      <w:pPr>
        <w:ind w:firstLine="31680" w:firstLineChars="200"/>
        <w:jc w:val="left"/>
        <w:rPr>
          <w:rFonts w:ascii="宋体" w:eastAsia="宋体"/>
          <w:bCs/>
          <w:szCs w:val="32"/>
        </w:rPr>
      </w:pPr>
      <w:r>
        <w:rPr>
          <w:rFonts w:hint="eastAsia" w:ascii="宋体" w:hAnsi="宋体"/>
          <w:szCs w:val="32"/>
        </w:rPr>
        <w:t>试点城市自行采购要与省级药品集中采购同步公布采购结果。</w:t>
      </w:r>
      <w:r>
        <w:rPr>
          <w:rFonts w:hint="eastAsia" w:ascii="宋体" w:hAnsi="宋体"/>
          <w:bCs/>
          <w:szCs w:val="32"/>
        </w:rPr>
        <w:t>试点城市成交价格高于省级中标价格的，执行省级中标价格；试点城市成交价格明显低于省级中标价格的，省级中标价格应按试点城市成交价格进行调整。暂未开展自行采购的试点城市，执行省级集中采购结果。</w:t>
      </w:r>
    </w:p>
    <w:p>
      <w:pPr>
        <w:ind w:firstLine="31680" w:firstLineChars="200"/>
        <w:rPr>
          <w:rFonts w:ascii="宋体" w:eastAsia="宋体"/>
          <w:szCs w:val="32"/>
        </w:rPr>
      </w:pPr>
      <w:r>
        <w:rPr>
          <w:rFonts w:hint="eastAsia" w:ascii="宋体" w:hAnsi="宋体"/>
          <w:szCs w:val="32"/>
        </w:rPr>
        <w:t>试点城市自行采购必须通过省药采平台，其确定的生产企业、产品、供货价格、合同采购量、配送企业等采购信息均应纳入省药采平台，辖区内各级医疗机构通过平台在线交易。</w:t>
      </w:r>
    </w:p>
    <w:p>
      <w:pPr>
        <w:widowControl/>
        <w:jc w:val="left"/>
        <w:rPr>
          <w:rFonts w:ascii="宋体" w:hAnsi="宋体" w:eastAsia="黑体"/>
          <w:sz w:val="36"/>
          <w:szCs w:val="36"/>
        </w:rPr>
      </w:pPr>
    </w:p>
    <w:p>
      <w:pPr>
        <w:spacing w:after="100" w:afterAutospacing="1"/>
        <w:jc w:val="center"/>
        <w:rPr>
          <w:rFonts w:ascii="宋体" w:eastAsia="宋体"/>
          <w:kern w:val="0"/>
          <w:sz w:val="36"/>
          <w:szCs w:val="36"/>
        </w:rPr>
      </w:pPr>
      <w:r>
        <w:rPr>
          <w:rFonts w:hint="eastAsia" w:ascii="宋体" w:hAnsi="宋体" w:eastAsia="黑体"/>
          <w:sz w:val="36"/>
          <w:szCs w:val="36"/>
        </w:rPr>
        <w:t>第八部分</w:t>
      </w:r>
      <w:r>
        <w:rPr>
          <w:rFonts w:ascii="宋体" w:hAnsi="宋体" w:eastAsia="黑体"/>
          <w:sz w:val="36"/>
          <w:szCs w:val="36"/>
        </w:rPr>
        <w:t xml:space="preserve">  </w:t>
      </w:r>
      <w:r>
        <w:rPr>
          <w:rFonts w:hint="eastAsia" w:ascii="宋体" w:hAnsi="宋体" w:eastAsia="黑体"/>
          <w:sz w:val="36"/>
          <w:szCs w:val="36"/>
        </w:rPr>
        <w:t>公示和挂网</w:t>
      </w:r>
    </w:p>
    <w:p>
      <w:pPr>
        <w:ind w:firstLine="31680" w:firstLineChars="200"/>
        <w:jc w:val="left"/>
        <w:rPr>
          <w:rFonts w:ascii="宋体" w:eastAsia="宋体"/>
          <w:bCs/>
          <w:szCs w:val="32"/>
        </w:rPr>
      </w:pPr>
      <w:r>
        <w:rPr>
          <w:rFonts w:hint="eastAsia" w:ascii="宋体" w:hAnsi="宋体"/>
          <w:bCs/>
          <w:szCs w:val="32"/>
        </w:rPr>
        <w:t>列入公开招标采购、集中挂网采购的产品通过</w:t>
      </w:r>
      <w:r>
        <w:rPr>
          <w:rFonts w:hint="eastAsia" w:ascii="宋体" w:hAnsi="宋体" w:cs="宋体"/>
          <w:kern w:val="0"/>
        </w:rPr>
        <w:t>省药品集中采购网</w:t>
      </w:r>
      <w:r>
        <w:rPr>
          <w:rFonts w:hint="eastAsia" w:ascii="宋体" w:hAnsi="宋体"/>
          <w:bCs/>
          <w:szCs w:val="32"/>
        </w:rPr>
        <w:t>进行分批公示，接受社会各界监督。公示期间，组织我省医疗机构对列入公开招标采购产品的拟中标价格与实际采购价格进行比对。如高于</w:t>
      </w:r>
      <w:r>
        <w:rPr>
          <w:rFonts w:ascii="宋体" w:hAnsi="宋体"/>
          <w:bCs/>
          <w:szCs w:val="32"/>
        </w:rPr>
        <w:t>2014</w:t>
      </w:r>
      <w:r>
        <w:rPr>
          <w:rFonts w:hint="eastAsia" w:ascii="宋体" w:hAnsi="宋体"/>
          <w:bCs/>
          <w:szCs w:val="32"/>
        </w:rPr>
        <w:t>年以来医疗机构实际采购价格的，则再行组织议价。</w:t>
      </w:r>
    </w:p>
    <w:p>
      <w:pPr>
        <w:ind w:firstLine="31680" w:firstLineChars="200"/>
        <w:jc w:val="left"/>
        <w:rPr>
          <w:rFonts w:ascii="宋体" w:eastAsia="宋体"/>
          <w:bCs/>
          <w:szCs w:val="32"/>
        </w:rPr>
      </w:pPr>
      <w:r>
        <w:rPr>
          <w:rFonts w:hint="eastAsia" w:ascii="宋体" w:hAnsi="宋体"/>
          <w:bCs/>
          <w:szCs w:val="32"/>
        </w:rPr>
        <w:t>公示期满，按有关程序公布采购结果并挂网。</w:t>
      </w:r>
    </w:p>
    <w:p>
      <w:pPr>
        <w:widowControl/>
        <w:spacing w:after="100" w:afterAutospacing="1"/>
        <w:jc w:val="center"/>
        <w:rPr>
          <w:rFonts w:ascii="宋体" w:hAnsi="宋体" w:eastAsia="黑体"/>
          <w:sz w:val="36"/>
          <w:szCs w:val="36"/>
        </w:rPr>
      </w:pPr>
    </w:p>
    <w:p>
      <w:pPr>
        <w:widowControl/>
        <w:spacing w:after="100" w:afterAutospacing="1"/>
        <w:jc w:val="center"/>
        <w:rPr>
          <w:rFonts w:ascii="宋体" w:hAnsi="宋体" w:eastAsia="黑体"/>
          <w:sz w:val="36"/>
          <w:szCs w:val="36"/>
        </w:rPr>
      </w:pPr>
      <w:r>
        <w:rPr>
          <w:rFonts w:hint="eastAsia" w:ascii="宋体" w:hAnsi="宋体" w:eastAsia="黑体"/>
          <w:sz w:val="36"/>
          <w:szCs w:val="36"/>
        </w:rPr>
        <w:t>第九部分</w:t>
      </w:r>
      <w:r>
        <w:rPr>
          <w:rFonts w:ascii="宋体" w:hAnsi="宋体" w:eastAsia="黑体"/>
          <w:sz w:val="36"/>
          <w:szCs w:val="36"/>
        </w:rPr>
        <w:t xml:space="preserve">  </w:t>
      </w:r>
      <w:r>
        <w:rPr>
          <w:rFonts w:hint="eastAsia" w:ascii="宋体" w:hAnsi="宋体" w:eastAsia="黑体"/>
          <w:sz w:val="36"/>
          <w:szCs w:val="36"/>
        </w:rPr>
        <w:t>采购与配送</w:t>
      </w:r>
    </w:p>
    <w:p>
      <w:pPr>
        <w:rPr>
          <w:rFonts w:ascii="宋体" w:hAnsi="宋体" w:eastAsia="黑体" w:cs="宋体"/>
          <w:kern w:val="0"/>
        </w:rPr>
      </w:pPr>
      <w:r>
        <w:rPr>
          <w:rFonts w:ascii="宋体" w:hAnsi="宋体" w:eastAsia="黑体" w:cs="宋体"/>
          <w:kern w:val="0"/>
        </w:rPr>
        <w:t xml:space="preserve">    </w:t>
      </w:r>
      <w:r>
        <w:rPr>
          <w:rFonts w:hint="eastAsia" w:ascii="宋体" w:hAnsi="宋体" w:eastAsia="黑体" w:cs="宋体"/>
          <w:kern w:val="0"/>
        </w:rPr>
        <w:t>一、合同签订</w:t>
      </w:r>
    </w:p>
    <w:p>
      <w:pPr>
        <w:ind w:firstLine="645"/>
        <w:rPr>
          <w:rFonts w:ascii="宋体" w:eastAsia="宋体" w:cs="宋体"/>
          <w:kern w:val="0"/>
        </w:rPr>
      </w:pPr>
      <w:r>
        <w:rPr>
          <w:rFonts w:hint="eastAsia" w:ascii="宋体" w:hAnsi="宋体" w:cs="宋体"/>
          <w:kern w:val="0"/>
        </w:rPr>
        <w:t>采购结果公布后，省药采中心代表基层医疗卫生机构与药品生产经营企业签订采购合同。</w:t>
      </w:r>
    </w:p>
    <w:p>
      <w:pPr>
        <w:ind w:firstLine="31680" w:firstLineChars="200"/>
        <w:rPr>
          <w:rFonts w:ascii="宋体" w:eastAsia="宋体" w:cs="宋体"/>
          <w:szCs w:val="32"/>
        </w:rPr>
      </w:pPr>
      <w:r>
        <w:rPr>
          <w:rFonts w:hint="eastAsia" w:ascii="宋体" w:hAnsi="宋体" w:cs="宋体"/>
          <w:kern w:val="0"/>
        </w:rPr>
        <w:t>县级及以上医疗机构要按照电子合同示范文本，自行选择与药品生产企业或其委托的配送企业签订采购合同，明确</w:t>
      </w:r>
      <w:r>
        <w:rPr>
          <w:rFonts w:hint="eastAsia" w:ascii="宋体" w:hAnsi="宋体"/>
        </w:rPr>
        <w:t>采购品种、剂型、规格、价格、数量、配送批量和时限、结算方式、结算时间、违约责任和解决争议的方法等内容。合同约定的采购数量应是采购计划申报的一个采购周期的全部采购量。</w:t>
      </w:r>
      <w:r>
        <w:rPr>
          <w:rFonts w:hint="eastAsia" w:ascii="宋体" w:hAnsi="宋体" w:cs="宋体"/>
          <w:szCs w:val="32"/>
        </w:rPr>
        <w:t>实际采购数量可根据临床用药情况适当增减，最高增减幅度不得超过合同约定采购数量的±</w:t>
      </w:r>
      <w:r>
        <w:rPr>
          <w:rFonts w:ascii="宋体" w:hAnsi="宋体" w:cs="宋体"/>
          <w:szCs w:val="32"/>
        </w:rPr>
        <w:t>20%</w:t>
      </w:r>
      <w:r>
        <w:rPr>
          <w:rFonts w:hint="eastAsia" w:ascii="宋体" w:hAnsi="宋体" w:cs="宋体"/>
          <w:szCs w:val="32"/>
        </w:rPr>
        <w:t>。购销双方应严格按照合同约定进行药品交易，履行各自的权利和义务。</w:t>
      </w:r>
    </w:p>
    <w:p>
      <w:pPr>
        <w:ind w:firstLine="31680" w:firstLineChars="200"/>
        <w:rPr>
          <w:rFonts w:ascii="宋体" w:hAnsi="宋体" w:eastAsia="宋体"/>
        </w:rPr>
      </w:pPr>
      <w:r>
        <w:rPr>
          <w:rFonts w:hint="eastAsia" w:ascii="宋体" w:hAnsi="宋体" w:cs="宋体"/>
          <w:szCs w:val="32"/>
        </w:rPr>
        <w:t>医疗机构在与药品生产经营企业</w:t>
      </w:r>
      <w:r>
        <w:rPr>
          <w:rFonts w:hint="eastAsia" w:ascii="宋体" w:hAnsi="宋体"/>
        </w:rPr>
        <w:t>签订药品购销合同时，应当同时签署《医疗卫生机构医药产品廉洁购销合同》。基层医疗卫生机构廉洁购销合同由省药采中心与相关企业统一签订。</w:t>
      </w:r>
    </w:p>
    <w:p>
      <w:pPr>
        <w:ind w:firstLine="31680" w:firstLineChars="200"/>
        <w:rPr>
          <w:rFonts w:ascii="宋体" w:hAnsi="宋体" w:eastAsia="黑体"/>
        </w:rPr>
      </w:pPr>
      <w:r>
        <w:rPr>
          <w:rFonts w:hint="eastAsia" w:ascii="宋体" w:hAnsi="宋体" w:eastAsia="黑体"/>
        </w:rPr>
        <w:t>二、网上采购</w:t>
      </w:r>
    </w:p>
    <w:p>
      <w:pPr>
        <w:ind w:firstLine="31680" w:firstLineChars="200"/>
        <w:rPr>
          <w:rFonts w:ascii="宋体" w:eastAsia="宋体"/>
        </w:rPr>
      </w:pPr>
      <w:r>
        <w:rPr>
          <w:rFonts w:hint="eastAsia" w:ascii="宋体" w:hAnsi="宋体"/>
        </w:rPr>
        <w:t>（一）医疗机构使用的所有药品（不含中药饮片）均应通过省药采平台采购。</w:t>
      </w:r>
    </w:p>
    <w:p>
      <w:pPr>
        <w:ind w:firstLine="31680" w:firstLineChars="200"/>
        <w:rPr>
          <w:rFonts w:ascii="宋体" w:eastAsia="宋体" w:cs="宋体"/>
          <w:kern w:val="0"/>
        </w:rPr>
      </w:pPr>
      <w:r>
        <w:rPr>
          <w:rFonts w:hint="eastAsia" w:ascii="宋体" w:hAnsi="宋体" w:cs="宋体"/>
          <w:kern w:val="0"/>
        </w:rPr>
        <w:t>（二）基层医疗卫生机构可采购使用的药品范围包括通过分类采购中标及挂网的基本药物和市级补充药品。县级及县级以上医疗机构可采购使用的药品为通过分类采购中标及挂网的所有药品。</w:t>
      </w:r>
    </w:p>
    <w:p>
      <w:pPr>
        <w:ind w:firstLine="31680" w:firstLineChars="200"/>
        <w:rPr>
          <w:rFonts w:ascii="宋体" w:eastAsia="宋体" w:cs="宋体"/>
          <w:kern w:val="0"/>
        </w:rPr>
      </w:pPr>
      <w:r>
        <w:rPr>
          <w:rFonts w:hint="eastAsia" w:ascii="宋体" w:hAnsi="宋体" w:cs="宋体"/>
          <w:kern w:val="0"/>
        </w:rPr>
        <w:t>（三）各级医疗机构须按照上报的采购计划和预算采购药品，禁止报而不采。</w:t>
      </w:r>
    </w:p>
    <w:p>
      <w:pPr>
        <w:ind w:firstLine="31680" w:firstLineChars="200"/>
        <w:rPr>
          <w:rFonts w:ascii="宋体" w:eastAsia="宋体" w:cs="宋体"/>
          <w:kern w:val="0"/>
          <w:szCs w:val="32"/>
        </w:rPr>
      </w:pPr>
      <w:r>
        <w:rPr>
          <w:rFonts w:hint="eastAsia" w:ascii="宋体" w:hAnsi="宋体" w:cs="宋体"/>
          <w:kern w:val="0"/>
        </w:rPr>
        <w:t>（四）对于公开招标、价格谈判、定点生产采购的中标产品，医疗机构不得以任何形式组织二次议价。对纳入公开招标采购范围但未中标产品列入限制使用产品目录。如临床确需使用，由医疗机构按照药事管理相关规定，经集体研究后确定，并严控使用比例，限制使用产品采购总金额不得超过医疗机构药品采购金额的</w:t>
      </w:r>
      <w:r>
        <w:rPr>
          <w:rFonts w:ascii="宋体" w:hAnsi="宋体" w:cs="宋体"/>
          <w:kern w:val="0"/>
        </w:rPr>
        <w:t>5%</w:t>
      </w:r>
      <w:r>
        <w:rPr>
          <w:rFonts w:hint="eastAsia" w:ascii="宋体" w:hAnsi="宋体" w:cs="宋体"/>
          <w:kern w:val="0"/>
        </w:rPr>
        <w:t>。</w:t>
      </w:r>
    </w:p>
    <w:p>
      <w:pPr>
        <w:ind w:firstLine="31680" w:firstLineChars="200"/>
        <w:rPr>
          <w:rFonts w:ascii="宋体" w:eastAsia="宋体" w:cs="宋体"/>
          <w:kern w:val="0"/>
        </w:rPr>
      </w:pPr>
      <w:r>
        <w:rPr>
          <w:rFonts w:hint="eastAsia" w:ascii="宋体" w:hAnsi="宋体"/>
        </w:rPr>
        <w:t>（五</w:t>
      </w:r>
      <w:r>
        <w:rPr>
          <w:rFonts w:hint="eastAsia" w:ascii="宋体" w:hAnsi="宋体" w:cs="宋体"/>
          <w:kern w:val="0"/>
        </w:rPr>
        <w:t>）医疗机构应规范药品采购管理，避免小而散的订单，原则上</w:t>
      </w:r>
      <w:r>
        <w:rPr>
          <w:rFonts w:hint="eastAsia" w:ascii="宋体" w:hAnsi="宋体" w:cs="仿宋_GB2312"/>
          <w:snapToGrid w:val="0"/>
          <w:szCs w:val="32"/>
        </w:rPr>
        <w:t>每月向同一企业下达订单次数不超过</w:t>
      </w:r>
      <w:r>
        <w:rPr>
          <w:rFonts w:ascii="宋体" w:hAnsi="宋体" w:eastAsia="宋体" w:cs="仿宋_GB2312"/>
          <w:snapToGrid w:val="0"/>
          <w:szCs w:val="32"/>
        </w:rPr>
        <w:t>3</w:t>
      </w:r>
      <w:r>
        <w:rPr>
          <w:rFonts w:hint="eastAsia" w:ascii="宋体" w:hAnsi="宋体" w:cs="仿宋_GB2312"/>
          <w:snapToGrid w:val="0"/>
          <w:szCs w:val="32"/>
        </w:rPr>
        <w:t>次。</w:t>
      </w:r>
    </w:p>
    <w:p>
      <w:pPr>
        <w:ind w:firstLine="31680" w:firstLineChars="200"/>
        <w:rPr>
          <w:rFonts w:ascii="宋体" w:eastAsia="宋体" w:cs="宋体"/>
          <w:kern w:val="0"/>
        </w:rPr>
      </w:pPr>
      <w:r>
        <w:rPr>
          <w:rFonts w:hint="eastAsia" w:ascii="宋体" w:hAnsi="宋体" w:cs="仿宋_GB2312"/>
          <w:snapToGrid w:val="0"/>
          <w:szCs w:val="32"/>
        </w:rPr>
        <w:t>（六）</w:t>
      </w:r>
      <w:r>
        <w:rPr>
          <w:rFonts w:hint="eastAsia" w:ascii="宋体" w:hAnsi="宋体"/>
        </w:rPr>
        <w:t>优先采购达到国际水平的仿制药。优先采购</w:t>
      </w:r>
      <w:r>
        <w:rPr>
          <w:rFonts w:hint="eastAsia" w:ascii="宋体" w:hAnsi="宋体" w:cs="宋体"/>
          <w:kern w:val="0"/>
        </w:rPr>
        <w:t>临床常用必需、剂型规格适宜、包装使用方便的药品，推进药品剂型、规格、包装标准化。</w:t>
      </w:r>
    </w:p>
    <w:p>
      <w:pPr>
        <w:ind w:firstLine="31680" w:firstLineChars="200"/>
        <w:rPr>
          <w:rFonts w:ascii="宋体" w:hAnsi="宋体" w:eastAsia="黑体" w:cs="宋体"/>
          <w:kern w:val="0"/>
        </w:rPr>
      </w:pPr>
      <w:r>
        <w:rPr>
          <w:rFonts w:hint="eastAsia" w:ascii="宋体" w:hAnsi="宋体" w:eastAsia="黑体" w:cs="宋体"/>
          <w:kern w:val="0"/>
        </w:rPr>
        <w:t>三、药品配送</w:t>
      </w:r>
    </w:p>
    <w:p>
      <w:pPr>
        <w:ind w:firstLine="31680" w:firstLineChars="200"/>
        <w:rPr>
          <w:rFonts w:ascii="宋体" w:hAnsi="宋体" w:eastAsia="宋体" w:cs="宋体"/>
          <w:kern w:val="0"/>
          <w:szCs w:val="32"/>
        </w:rPr>
      </w:pPr>
      <w:r>
        <w:rPr>
          <w:rFonts w:hint="eastAsia" w:ascii="宋体" w:hAnsi="宋体" w:cs="宋体"/>
          <w:kern w:val="0"/>
        </w:rPr>
        <w:t>（一）</w:t>
      </w:r>
      <w:r>
        <w:rPr>
          <w:rFonts w:hint="eastAsia" w:ascii="宋体" w:hAnsi="宋体" w:cs="宋体"/>
          <w:kern w:val="0"/>
          <w:szCs w:val="32"/>
        </w:rPr>
        <w:t>药品可由中标生产企业直接配送，或委托配送能力强、配送业绩好、服务质量优、医疗机构认同程度高的经营企业配送到指定医疗机构。每种药品只允许委托一次，但在一个设区的市可以委托多家进行配送。</w:t>
      </w:r>
      <w:r>
        <w:rPr>
          <w:rFonts w:hint="eastAsia" w:ascii="宋体" w:hAnsi="宋体"/>
        </w:rPr>
        <w:t>药品生产企业委托的药品经营企业应在省药采平台上备案，备案及供货情况向社会公开。</w:t>
      </w:r>
    </w:p>
    <w:p>
      <w:pPr>
        <w:ind w:firstLine="31680" w:firstLineChars="200"/>
        <w:rPr>
          <w:rFonts w:ascii="宋体" w:hAnsi="宋体" w:eastAsia="宋体" w:cs="宋体"/>
          <w:kern w:val="0"/>
          <w:szCs w:val="32"/>
        </w:rPr>
      </w:pPr>
      <w:r>
        <w:rPr>
          <w:rFonts w:hint="eastAsia" w:ascii="宋体" w:hAnsi="宋体" w:cs="宋体"/>
          <w:kern w:val="0"/>
          <w:szCs w:val="32"/>
        </w:rPr>
        <w:t>（二）</w:t>
      </w:r>
      <w:r>
        <w:rPr>
          <w:rFonts w:hint="eastAsia" w:ascii="宋体" w:hAnsi="宋体"/>
        </w:rPr>
        <w:t>引导医疗机构合理选择配送企业，既要保障配送效率，又要防止垄断经营。采购平台要及时公布每家医院的配送企业名单，接受社会监督。</w:t>
      </w:r>
    </w:p>
    <w:p>
      <w:pPr>
        <w:ind w:firstLine="31680" w:firstLineChars="200"/>
        <w:rPr>
          <w:rFonts w:ascii="宋体" w:hAnsi="宋体" w:eastAsia="宋体"/>
        </w:rPr>
      </w:pPr>
      <w:r>
        <w:rPr>
          <w:rFonts w:hint="eastAsia" w:ascii="宋体" w:hAnsi="宋体" w:cs="宋体"/>
          <w:kern w:val="0"/>
          <w:szCs w:val="32"/>
        </w:rPr>
        <w:t>（三）</w:t>
      </w:r>
      <w:r>
        <w:rPr>
          <w:rFonts w:hint="eastAsia" w:ascii="宋体" w:hAnsi="宋体"/>
        </w:rPr>
        <w:t>按照城乡联动、远近结合的原则，提高区域内采购配送企业集中度，鼓励各地结合实际探索实行县乡村一体化配送管理，保障偏远、交通不便地点的药品供应配送。</w:t>
      </w:r>
    </w:p>
    <w:p>
      <w:pPr>
        <w:ind w:firstLine="31680" w:firstLineChars="200"/>
        <w:rPr>
          <w:rFonts w:ascii="宋体" w:eastAsia="宋体" w:cs="宋体"/>
          <w:kern w:val="0"/>
          <w:szCs w:val="32"/>
        </w:rPr>
      </w:pPr>
      <w:r>
        <w:rPr>
          <w:rFonts w:hint="eastAsia" w:ascii="宋体" w:hAnsi="宋体" w:cs="宋体"/>
          <w:kern w:val="0"/>
          <w:szCs w:val="32"/>
        </w:rPr>
        <w:t>（四）生产经营企业必须满足医疗卫生机构临床用药的需求。不论药品采购规模大小，均须按照与医疗机构签订的合同规定的时间和数量保证供货。急救药品配送不超过</w:t>
      </w:r>
      <w:r>
        <w:rPr>
          <w:rFonts w:ascii="宋体" w:hAnsi="宋体" w:cs="宋体"/>
          <w:kern w:val="0"/>
          <w:szCs w:val="32"/>
        </w:rPr>
        <w:t>4</w:t>
      </w:r>
      <w:r>
        <w:rPr>
          <w:rFonts w:hint="eastAsia" w:ascii="宋体" w:hAnsi="宋体" w:cs="宋体"/>
          <w:kern w:val="0"/>
          <w:szCs w:val="32"/>
        </w:rPr>
        <w:t>小时，一般药品配送不超过</w:t>
      </w:r>
      <w:r>
        <w:rPr>
          <w:rFonts w:ascii="宋体" w:hAnsi="宋体" w:cs="宋体"/>
          <w:kern w:val="0"/>
          <w:szCs w:val="32"/>
        </w:rPr>
        <w:t>72</w:t>
      </w:r>
      <w:r>
        <w:rPr>
          <w:rFonts w:hint="eastAsia" w:ascii="宋体" w:hAnsi="宋体" w:cs="宋体"/>
          <w:kern w:val="0"/>
          <w:szCs w:val="32"/>
        </w:rPr>
        <w:t>小时，节假日照常配送。配送药品的剩余有效期，必须占药品有效期的三分之二以上。</w:t>
      </w:r>
    </w:p>
    <w:p>
      <w:pPr>
        <w:widowControl/>
        <w:spacing w:after="100" w:afterAutospacing="1"/>
        <w:jc w:val="center"/>
        <w:rPr>
          <w:rFonts w:ascii="宋体" w:hAnsi="宋体" w:eastAsia="黑体" w:cs="黑体"/>
          <w:kern w:val="0"/>
          <w:sz w:val="36"/>
          <w:szCs w:val="36"/>
        </w:rPr>
      </w:pPr>
    </w:p>
    <w:p>
      <w:pPr>
        <w:widowControl/>
        <w:spacing w:after="100" w:afterAutospacing="1"/>
        <w:jc w:val="center"/>
        <w:rPr>
          <w:rFonts w:ascii="宋体" w:hAnsi="宋体" w:eastAsia="黑体" w:cs="黑体"/>
          <w:kern w:val="0"/>
          <w:sz w:val="36"/>
          <w:szCs w:val="36"/>
        </w:rPr>
      </w:pPr>
      <w:r>
        <w:rPr>
          <w:rFonts w:hint="eastAsia" w:ascii="宋体" w:hAnsi="宋体" w:eastAsia="黑体" w:cs="黑体"/>
          <w:kern w:val="0"/>
          <w:sz w:val="36"/>
          <w:szCs w:val="36"/>
        </w:rPr>
        <w:t>第十部分</w:t>
      </w:r>
      <w:r>
        <w:rPr>
          <w:rFonts w:ascii="宋体" w:hAnsi="宋体" w:eastAsia="黑体" w:cs="黑体"/>
          <w:kern w:val="0"/>
          <w:sz w:val="36"/>
          <w:szCs w:val="36"/>
        </w:rPr>
        <w:t xml:space="preserve">  </w:t>
      </w:r>
      <w:r>
        <w:rPr>
          <w:rFonts w:hint="eastAsia" w:ascii="宋体" w:hAnsi="宋体" w:eastAsia="黑体" w:cs="黑体"/>
          <w:kern w:val="0"/>
          <w:sz w:val="36"/>
          <w:szCs w:val="36"/>
        </w:rPr>
        <w:t>货款结算</w:t>
      </w:r>
    </w:p>
    <w:p>
      <w:pPr>
        <w:ind w:firstLine="31680" w:firstLineChars="200"/>
        <w:rPr>
          <w:rFonts w:ascii="宋体" w:hAnsi="宋体" w:eastAsia="黑体" w:cs="黑体"/>
          <w:kern w:val="0"/>
          <w:szCs w:val="32"/>
        </w:rPr>
      </w:pPr>
      <w:r>
        <w:rPr>
          <w:rFonts w:hint="eastAsia" w:ascii="宋体" w:hAnsi="宋体" w:eastAsia="黑体" w:cs="黑体"/>
          <w:kern w:val="0"/>
          <w:szCs w:val="32"/>
        </w:rPr>
        <w:t>一、基层医疗卫生机构货款结算</w:t>
      </w:r>
    </w:p>
    <w:p>
      <w:pPr>
        <w:ind w:firstLine="31680" w:firstLineChars="200"/>
        <w:rPr>
          <w:rFonts w:ascii="宋体" w:eastAsia="宋体" w:cs="宋体"/>
          <w:kern w:val="0"/>
          <w:szCs w:val="32"/>
        </w:rPr>
      </w:pPr>
      <w:r>
        <w:rPr>
          <w:rFonts w:hint="eastAsia" w:ascii="宋体" w:hAnsi="宋体" w:cs="宋体"/>
          <w:kern w:val="0"/>
          <w:szCs w:val="32"/>
        </w:rPr>
        <w:t>严格落实《山东省基层医疗卫生机构基本药物网上采购及货款结算管理办法》，坚持以省为单位的基层医疗卫生机构药品货款统一支付。</w:t>
      </w:r>
    </w:p>
    <w:p>
      <w:pPr>
        <w:ind w:firstLine="31680" w:firstLineChars="200"/>
        <w:rPr>
          <w:rFonts w:ascii="宋体" w:eastAsia="宋体" w:cs="宋体"/>
          <w:kern w:val="0"/>
          <w:szCs w:val="32"/>
        </w:rPr>
      </w:pPr>
      <w:r>
        <w:rPr>
          <w:rFonts w:hint="eastAsia" w:ascii="宋体" w:hAnsi="宋体" w:eastAsia="黑体" w:cs="黑体"/>
          <w:kern w:val="0"/>
          <w:szCs w:val="32"/>
        </w:rPr>
        <w:t>二、公立医院货款结算</w:t>
      </w:r>
    </w:p>
    <w:p>
      <w:pPr>
        <w:ind w:firstLine="31680" w:firstLineChars="200"/>
        <w:rPr>
          <w:rFonts w:ascii="宋体" w:eastAsia="宋体" w:cs="宋体"/>
          <w:kern w:val="0"/>
          <w:szCs w:val="32"/>
        </w:rPr>
      </w:pPr>
      <w:r>
        <w:rPr>
          <w:rFonts w:hint="eastAsia" w:ascii="宋体" w:hAnsi="宋体" w:cs="宋体"/>
          <w:kern w:val="0"/>
          <w:szCs w:val="32"/>
        </w:rPr>
        <w:t>（一）严格落实公立医院药品货款支付政策。公立医院应在药品到货后</w:t>
      </w:r>
      <w:r>
        <w:rPr>
          <w:rFonts w:ascii="宋体" w:hAnsi="宋体" w:cs="宋体"/>
          <w:kern w:val="0"/>
          <w:szCs w:val="32"/>
        </w:rPr>
        <w:t>24</w:t>
      </w:r>
      <w:r>
        <w:rPr>
          <w:rFonts w:hint="eastAsia" w:ascii="宋体" w:hAnsi="宋体" w:cs="宋体"/>
          <w:kern w:val="0"/>
          <w:szCs w:val="32"/>
        </w:rPr>
        <w:t>小时内验收确认，从交货验收合格到付款不得超过</w:t>
      </w:r>
      <w:r>
        <w:rPr>
          <w:rFonts w:ascii="宋体" w:hAnsi="宋体" w:cs="宋体"/>
          <w:kern w:val="0"/>
          <w:szCs w:val="32"/>
        </w:rPr>
        <w:t>30</w:t>
      </w:r>
      <w:r>
        <w:rPr>
          <w:rFonts w:hint="eastAsia" w:ascii="宋体" w:hAnsi="宋体" w:cs="宋体"/>
          <w:kern w:val="0"/>
          <w:szCs w:val="32"/>
        </w:rPr>
        <w:t>天。发挥采购平台在线支付结算的优势，鼓励医院与药品生产企业直接结算药款、生产企业与配送企业结算配送费用，节约交易成本，提高交易透明度。医保经办机构结合医保基金总额预付管理办法，进一步加大向医疗机构拨付周转金的力度，具体金额由各地自行确定。探索引入行业协会、商业保险机构等第三方，定期发布医院药品采购总量、回款时间等相关信息，充分发挥社会监督作用。</w:t>
      </w:r>
    </w:p>
    <w:p>
      <w:pPr>
        <w:ind w:firstLine="31680" w:firstLineChars="200"/>
        <w:rPr>
          <w:rFonts w:ascii="宋体" w:eastAsia="宋体" w:cs="宋体"/>
          <w:kern w:val="0"/>
          <w:szCs w:val="32"/>
        </w:rPr>
      </w:pPr>
      <w:r>
        <w:rPr>
          <w:rFonts w:hint="eastAsia" w:ascii="宋体" w:hAnsi="宋体" w:cs="宋体"/>
          <w:kern w:val="0"/>
          <w:szCs w:val="32"/>
        </w:rPr>
        <w:t>（二）积极推进公立医院药品货款统一结算。公立医院改革试点城市要以市为单位遴选确定货款统一结算银行，按照互惠互利的原则，由公立医院在银行集中开设结算账户，银行提供周转金融资服务并直接与医药生产经营企业结算货款，确保药品货款及时足额支付，降低企业融资成本和药品生产流通成本。其他市也要积极开展公立医院药款统一结算。</w:t>
      </w:r>
    </w:p>
    <w:p>
      <w:pPr>
        <w:widowControl/>
        <w:jc w:val="left"/>
        <w:rPr>
          <w:rFonts w:ascii="宋体" w:eastAsia="宋体" w:cs="宋体"/>
          <w:kern w:val="0"/>
          <w:szCs w:val="32"/>
        </w:rPr>
      </w:pPr>
    </w:p>
    <w:p>
      <w:pPr>
        <w:widowControl/>
        <w:spacing w:after="100" w:afterAutospacing="1"/>
        <w:jc w:val="center"/>
        <w:rPr>
          <w:rFonts w:ascii="宋体" w:hAnsi="宋体" w:eastAsia="黑体" w:cs="宋体"/>
          <w:kern w:val="0"/>
          <w:sz w:val="36"/>
          <w:szCs w:val="36"/>
        </w:rPr>
      </w:pPr>
      <w:r>
        <w:rPr>
          <w:rFonts w:hint="eastAsia" w:ascii="宋体" w:hAnsi="宋体" w:eastAsia="黑体" w:cs="宋体"/>
          <w:kern w:val="0"/>
          <w:sz w:val="36"/>
          <w:szCs w:val="36"/>
        </w:rPr>
        <w:t>第十</w:t>
      </w:r>
      <w:r>
        <w:rPr>
          <w:rFonts w:hint="eastAsia" w:ascii="宋体" w:hAnsi="宋体" w:eastAsia="黑体" w:cs="黑体"/>
          <w:kern w:val="0"/>
          <w:sz w:val="36"/>
          <w:szCs w:val="36"/>
        </w:rPr>
        <w:t>一</w:t>
      </w:r>
      <w:r>
        <w:rPr>
          <w:rFonts w:hint="eastAsia" w:ascii="宋体" w:hAnsi="宋体" w:eastAsia="黑体" w:cs="宋体"/>
          <w:kern w:val="0"/>
          <w:sz w:val="36"/>
          <w:szCs w:val="36"/>
        </w:rPr>
        <w:t>部分</w:t>
      </w:r>
      <w:r>
        <w:rPr>
          <w:rFonts w:ascii="宋体" w:hAnsi="宋体" w:eastAsia="黑体" w:cs="宋体"/>
          <w:kern w:val="0"/>
          <w:sz w:val="36"/>
          <w:szCs w:val="36"/>
        </w:rPr>
        <w:t xml:space="preserve">  </w:t>
      </w:r>
      <w:r>
        <w:rPr>
          <w:rFonts w:hint="eastAsia" w:ascii="宋体" w:hAnsi="宋体" w:eastAsia="黑体" w:cs="宋体"/>
          <w:kern w:val="0"/>
          <w:sz w:val="36"/>
          <w:szCs w:val="36"/>
        </w:rPr>
        <w:t>监督管理</w:t>
      </w:r>
    </w:p>
    <w:p>
      <w:pPr>
        <w:rPr>
          <w:rFonts w:ascii="宋体" w:hAnsi="宋体" w:eastAsia="黑体" w:cs="宋体"/>
          <w:kern w:val="0"/>
          <w:szCs w:val="32"/>
        </w:rPr>
      </w:pPr>
      <w:r>
        <w:rPr>
          <w:rFonts w:ascii="宋体" w:hAnsi="宋体" w:eastAsia="黑体" w:cs="宋体"/>
          <w:kern w:val="0"/>
          <w:szCs w:val="32"/>
        </w:rPr>
        <w:t xml:space="preserve">    </w:t>
      </w:r>
      <w:r>
        <w:rPr>
          <w:rFonts w:hint="eastAsia" w:ascii="宋体" w:hAnsi="宋体" w:eastAsia="黑体" w:cs="宋体"/>
          <w:kern w:val="0"/>
          <w:szCs w:val="32"/>
        </w:rPr>
        <w:t>一、部门联动</w:t>
      </w:r>
    </w:p>
    <w:p>
      <w:pPr>
        <w:ind w:firstLine="645"/>
        <w:rPr>
          <w:rFonts w:ascii="宋体" w:hAnsi="宋体" w:eastAsia="宋体"/>
        </w:rPr>
      </w:pPr>
      <w:r>
        <w:rPr>
          <w:rFonts w:hint="eastAsia" w:ascii="宋体" w:hAnsi="宋体"/>
        </w:rPr>
        <w:t>建立由多部门组成的山东省药品（耗材）集中采购工作联席会议制度，研究解决药品集中采购工作中的重大问题，制定政策，确保药品集中采购工作顺利开展；协调各部门按照职责分工做好药品集中采购相关工作，建立统一、协调、高效的药品集中采购机制，提高药品集中采购工作效率；加强药品集中采购工作的运行保障和全程监管，及时查处违纪违规行为。</w:t>
      </w:r>
    </w:p>
    <w:p>
      <w:pPr>
        <w:ind w:firstLine="645"/>
        <w:rPr>
          <w:rFonts w:ascii="宋体" w:eastAsia="宋体"/>
        </w:rPr>
      </w:pPr>
      <w:r>
        <w:rPr>
          <w:rFonts w:hint="eastAsia" w:ascii="宋体" w:hAnsi="宋体"/>
        </w:rPr>
        <w:t>联席会议成员单位由省卫生计生委、省发展改革委、省经信委、省财政厅、省人力资源社会保障厅、省商务厅、省工商局、省食品药品监管局、省物价局、</w:t>
      </w:r>
      <w:r>
        <w:rPr>
          <w:rFonts w:hint="eastAsia" w:ascii="仿宋_GB2312"/>
        </w:rPr>
        <w:t>保监会山东监管局</w:t>
      </w:r>
      <w:r>
        <w:rPr>
          <w:rFonts w:hint="eastAsia" w:ascii="宋体" w:hAnsi="宋体"/>
        </w:rPr>
        <w:t>组成。省卫生计生委为联席会议牵头单位。</w:t>
      </w:r>
    </w:p>
    <w:p>
      <w:pPr>
        <w:ind w:firstLine="645"/>
        <w:rPr>
          <w:rFonts w:ascii="宋体" w:eastAsia="宋体"/>
        </w:rPr>
      </w:pPr>
      <w:r>
        <w:rPr>
          <w:rFonts w:hint="eastAsia" w:ascii="宋体" w:hAnsi="宋体"/>
        </w:rPr>
        <w:t>联席会议办公室设在省卫生计生委，负责联席会议的组织、联络和协调工作；根据成员单位提议，研究提出联席会议议题；通报药品集中采购工作进展情况；落实联席会议决定事项；承办联席会议交办的其他事项。</w:t>
      </w:r>
    </w:p>
    <w:p>
      <w:pPr>
        <w:ind w:firstLine="645"/>
        <w:rPr>
          <w:rFonts w:ascii="宋体" w:eastAsia="宋体"/>
        </w:rPr>
      </w:pPr>
      <w:r>
        <w:rPr>
          <w:rFonts w:hint="eastAsia" w:ascii="宋体" w:hAnsi="宋体"/>
        </w:rPr>
        <w:t>联席会议根据工作需要定期或不定期召开。</w:t>
      </w:r>
    </w:p>
    <w:p>
      <w:pPr>
        <w:ind w:firstLine="31680" w:firstLineChars="200"/>
        <w:rPr>
          <w:rFonts w:ascii="宋体" w:hAnsi="宋体" w:eastAsia="黑体" w:cs="宋体"/>
          <w:kern w:val="0"/>
          <w:szCs w:val="32"/>
        </w:rPr>
      </w:pPr>
      <w:r>
        <w:rPr>
          <w:rFonts w:hint="eastAsia" w:ascii="宋体" w:hAnsi="宋体" w:eastAsia="黑体" w:cs="宋体"/>
          <w:kern w:val="0"/>
          <w:szCs w:val="32"/>
        </w:rPr>
        <w:t>二、药品使用管理</w:t>
      </w:r>
    </w:p>
    <w:p>
      <w:pPr>
        <w:ind w:firstLine="31680" w:firstLineChars="200"/>
        <w:rPr>
          <w:rFonts w:ascii="宋体" w:hAnsi="宋体" w:eastAsia="宋体"/>
        </w:rPr>
      </w:pPr>
      <w:r>
        <w:rPr>
          <w:rFonts w:hint="eastAsia" w:ascii="宋体" w:hAnsi="宋体" w:cs="宋体"/>
          <w:kern w:val="0"/>
        </w:rPr>
        <w:t>（一）</w:t>
      </w:r>
      <w:r>
        <w:rPr>
          <w:rFonts w:hint="eastAsia" w:ascii="宋体" w:hAnsi="宋体"/>
        </w:rPr>
        <w:t>将药品采购情况、配备使用情况、药占比情况等作为医疗机构及其负责人目标管理及医院评审评价的重要内容。完善基本药物制度绩效考核机制。</w:t>
      </w:r>
    </w:p>
    <w:p>
      <w:pPr>
        <w:ind w:firstLine="31680" w:firstLineChars="200"/>
        <w:rPr>
          <w:rFonts w:ascii="宋体" w:eastAsia="宋体" w:cs="宋体"/>
          <w:kern w:val="0"/>
        </w:rPr>
      </w:pPr>
      <w:r>
        <w:rPr>
          <w:rFonts w:hint="eastAsia" w:ascii="宋体" w:hAnsi="宋体" w:cs="宋体"/>
          <w:kern w:val="0"/>
        </w:rPr>
        <w:t>（二）</w:t>
      </w:r>
      <w:r>
        <w:rPr>
          <w:rFonts w:hint="eastAsia" w:ascii="宋体" w:hAnsi="宋体"/>
        </w:rPr>
        <w:t>强化基本药物和常用药品临床用药主导地位。</w:t>
      </w:r>
      <w:r>
        <w:rPr>
          <w:rFonts w:hint="eastAsia" w:ascii="宋体" w:hAnsi="宋体" w:cs="宋体"/>
          <w:kern w:val="0"/>
        </w:rPr>
        <w:t>基层医疗卫生机构基本药物</w:t>
      </w:r>
      <w:r>
        <w:rPr>
          <w:rFonts w:hint="eastAsia" w:ascii="宋体" w:hAnsi="宋体"/>
          <w:color w:val="000000"/>
          <w:szCs w:val="32"/>
        </w:rPr>
        <w:t>的配备品种和采购金额，占本机构药品配备品种和采购金额的比例，均不得低于</w:t>
      </w:r>
      <w:r>
        <w:rPr>
          <w:rFonts w:ascii="宋体" w:hAnsi="宋体"/>
          <w:color w:val="000000"/>
          <w:szCs w:val="32"/>
        </w:rPr>
        <w:t>80%</w:t>
      </w:r>
      <w:r>
        <w:rPr>
          <w:rFonts w:hint="eastAsia" w:ascii="宋体" w:hAnsi="宋体"/>
          <w:color w:val="000000"/>
          <w:szCs w:val="32"/>
        </w:rPr>
        <w:t>。</w:t>
      </w:r>
      <w:r>
        <w:rPr>
          <w:rFonts w:hint="eastAsia" w:ascii="宋体" w:hAnsi="宋体" w:cs="宋体"/>
          <w:kern w:val="0"/>
        </w:rPr>
        <w:t>县级公立医院综合改革试点医院基本药物、常用药品销售额占全部药品总销售额的比例原则上不低于</w:t>
      </w:r>
      <w:r>
        <w:rPr>
          <w:rFonts w:ascii="宋体" w:hAnsi="宋体" w:cs="宋体"/>
          <w:kern w:val="0"/>
        </w:rPr>
        <w:t>80%</w:t>
      </w:r>
      <w:r>
        <w:rPr>
          <w:rFonts w:hint="eastAsia" w:ascii="宋体" w:hAnsi="宋体" w:cs="宋体"/>
          <w:kern w:val="0"/>
        </w:rPr>
        <w:t>，非试点二级医院基本药物、常用药品销售额占全部药品总销售额的比例原则上不低于</w:t>
      </w:r>
      <w:r>
        <w:rPr>
          <w:rFonts w:ascii="宋体" w:hAnsi="宋体" w:cs="宋体"/>
          <w:kern w:val="0"/>
        </w:rPr>
        <w:t>70%</w:t>
      </w:r>
      <w:r>
        <w:rPr>
          <w:rFonts w:hint="eastAsia" w:ascii="宋体" w:hAnsi="宋体" w:cs="宋体"/>
          <w:kern w:val="0"/>
        </w:rPr>
        <w:t>，三级医院基本药物、常用药品销售额占全部药品总销售额的比例原则上不低于</w:t>
      </w:r>
      <w:r>
        <w:rPr>
          <w:rFonts w:ascii="宋体" w:hAnsi="宋体" w:eastAsia="宋体" w:cs="宋体"/>
          <w:kern w:val="0"/>
        </w:rPr>
        <w:t>50</w:t>
      </w:r>
      <w:r>
        <w:rPr>
          <w:rFonts w:ascii="宋体" w:hAnsi="宋体" w:cs="宋体"/>
          <w:kern w:val="0"/>
        </w:rPr>
        <w:t>%</w:t>
      </w:r>
      <w:r>
        <w:rPr>
          <w:rFonts w:hint="eastAsia" w:ascii="宋体" w:hAnsi="宋体" w:cs="宋体"/>
          <w:kern w:val="0"/>
        </w:rPr>
        <w:t>。</w:t>
      </w:r>
    </w:p>
    <w:p>
      <w:pPr>
        <w:ind w:firstLine="31680" w:firstLineChars="200"/>
        <w:rPr>
          <w:rFonts w:ascii="宋体" w:eastAsia="宋体" w:cs="宋体"/>
          <w:kern w:val="0"/>
        </w:rPr>
      </w:pPr>
      <w:r>
        <w:rPr>
          <w:rFonts w:hint="eastAsia" w:ascii="宋体" w:hAnsi="宋体" w:cs="宋体"/>
          <w:kern w:val="0"/>
        </w:rPr>
        <w:t>（三）建立系统化、标准化和持续改进的处方点评制度和医师约谈制度，重点监控辅助用药、医院超常使用的药品，促进临床合理用药。</w:t>
      </w:r>
    </w:p>
    <w:p>
      <w:pPr>
        <w:ind w:firstLine="31680" w:firstLineChars="200"/>
        <w:rPr>
          <w:rFonts w:ascii="宋体" w:eastAsia="宋体"/>
        </w:rPr>
      </w:pPr>
      <w:r>
        <w:rPr>
          <w:rFonts w:hint="eastAsia" w:ascii="宋体" w:hAnsi="宋体" w:cs="宋体"/>
          <w:kern w:val="0"/>
        </w:rPr>
        <w:t>（四）</w:t>
      </w:r>
      <w:r>
        <w:rPr>
          <w:rFonts w:hint="eastAsia" w:ascii="宋体" w:hAnsi="宋体"/>
        </w:rPr>
        <w:t>各地按区域选择若干医疗机构作为短缺药品监测点，及时收集分析药品供求信息，并逐级汇总上报省卫生计生委。完善短缺药品监测预警机制，分析短缺原因，研究应对措施，做好供需衔接。</w:t>
      </w:r>
    </w:p>
    <w:p>
      <w:pPr>
        <w:ind w:firstLine="31680" w:firstLineChars="200"/>
        <w:rPr>
          <w:rFonts w:ascii="宋体" w:hAnsi="宋体" w:eastAsia="黑体" w:cs="宋体"/>
          <w:kern w:val="0"/>
        </w:rPr>
      </w:pPr>
      <w:r>
        <w:rPr>
          <w:rFonts w:hint="eastAsia" w:ascii="宋体" w:hAnsi="宋体" w:eastAsia="黑体" w:cs="宋体"/>
          <w:kern w:val="0"/>
        </w:rPr>
        <w:t>三、违规处理</w:t>
      </w:r>
    </w:p>
    <w:p>
      <w:pPr>
        <w:ind w:firstLine="31680" w:firstLineChars="200"/>
        <w:rPr>
          <w:rFonts w:ascii="宋体" w:hAnsi="宋体" w:eastAsia="楷体_GB2312" w:cs="宋体"/>
          <w:kern w:val="0"/>
        </w:rPr>
      </w:pPr>
      <w:r>
        <w:rPr>
          <w:rFonts w:hint="eastAsia" w:ascii="宋体" w:hAnsi="宋体" w:eastAsia="楷体_GB2312" w:cs="宋体"/>
          <w:kern w:val="0"/>
        </w:rPr>
        <w:t>（一）医疗机构违规处理。</w:t>
      </w:r>
    </w:p>
    <w:p>
      <w:pPr>
        <w:ind w:firstLine="31680" w:firstLineChars="200"/>
        <w:rPr>
          <w:rFonts w:ascii="宋体" w:eastAsia="宋体"/>
          <w:szCs w:val="32"/>
        </w:rPr>
      </w:pPr>
      <w:r>
        <w:rPr>
          <w:rFonts w:hint="eastAsia" w:ascii="宋体" w:hAnsi="宋体"/>
          <w:szCs w:val="32"/>
        </w:rPr>
        <w:t>医疗机构有下列行为之一的，除追究当事人的责任外，视其情节追究单位及主管领导的责任。涉嫌犯罪的，移交司法机关依法处理。</w:t>
      </w:r>
    </w:p>
    <w:p>
      <w:pPr>
        <w:ind w:firstLine="31680" w:firstLineChars="200"/>
        <w:rPr>
          <w:rFonts w:ascii="宋体" w:eastAsia="宋体"/>
          <w:szCs w:val="32"/>
        </w:rPr>
      </w:pPr>
      <w:r>
        <w:rPr>
          <w:rFonts w:ascii="宋体" w:hAnsi="宋体"/>
          <w:szCs w:val="32"/>
        </w:rPr>
        <w:t>1</w:t>
      </w:r>
      <w:r>
        <w:rPr>
          <w:rFonts w:hint="eastAsia" w:ascii="宋体" w:hAnsi="宋体"/>
          <w:szCs w:val="32"/>
        </w:rPr>
        <w:t>、不参加药品集中采购活动，以其他任何方式规避集中采购活动的；</w:t>
      </w:r>
    </w:p>
    <w:p>
      <w:pPr>
        <w:ind w:firstLine="31680" w:firstLineChars="200"/>
        <w:rPr>
          <w:rFonts w:ascii="宋体" w:eastAsia="宋体"/>
        </w:rPr>
      </w:pPr>
      <w:r>
        <w:rPr>
          <w:rFonts w:ascii="宋体" w:hAnsi="宋体"/>
        </w:rPr>
        <w:t>2</w:t>
      </w:r>
      <w:r>
        <w:rPr>
          <w:rFonts w:hint="eastAsia" w:ascii="宋体" w:hAnsi="宋体"/>
        </w:rPr>
        <w:t>、不按规定上报采购计划和预算的；</w:t>
      </w:r>
    </w:p>
    <w:p>
      <w:pPr>
        <w:ind w:firstLine="31680" w:firstLineChars="200"/>
        <w:rPr>
          <w:rFonts w:ascii="宋体" w:eastAsia="宋体"/>
        </w:rPr>
      </w:pPr>
      <w:r>
        <w:rPr>
          <w:rFonts w:ascii="宋体" w:hAnsi="宋体"/>
        </w:rPr>
        <w:t>3</w:t>
      </w:r>
      <w:r>
        <w:rPr>
          <w:rFonts w:hint="eastAsia" w:ascii="宋体" w:hAnsi="宋体"/>
        </w:rPr>
        <w:t>、提供虚假的药品采购历史资料的；</w:t>
      </w:r>
    </w:p>
    <w:p>
      <w:pPr>
        <w:ind w:firstLine="31680" w:firstLineChars="200"/>
        <w:rPr>
          <w:rFonts w:ascii="宋体" w:eastAsia="宋体"/>
        </w:rPr>
      </w:pPr>
      <w:r>
        <w:rPr>
          <w:rFonts w:ascii="宋体" w:hAnsi="宋体"/>
        </w:rPr>
        <w:t>4</w:t>
      </w:r>
      <w:r>
        <w:rPr>
          <w:rFonts w:hint="eastAsia" w:ascii="宋体" w:hAnsi="宋体"/>
        </w:rPr>
        <w:t>、不按规定与药品企业签订药品购销合同的；</w:t>
      </w:r>
    </w:p>
    <w:p>
      <w:pPr>
        <w:ind w:firstLine="31680" w:firstLineChars="200"/>
        <w:rPr>
          <w:rFonts w:ascii="宋体" w:eastAsia="宋体"/>
        </w:rPr>
      </w:pPr>
      <w:r>
        <w:rPr>
          <w:rFonts w:ascii="宋体" w:hAnsi="宋体"/>
        </w:rPr>
        <w:t>5</w:t>
      </w:r>
      <w:r>
        <w:rPr>
          <w:rFonts w:hint="eastAsia" w:ascii="宋体" w:hAnsi="宋体"/>
        </w:rPr>
        <w:t>、违规网下采购的；</w:t>
      </w:r>
    </w:p>
    <w:p>
      <w:pPr>
        <w:ind w:firstLine="31680" w:firstLineChars="200"/>
        <w:rPr>
          <w:rFonts w:ascii="宋体" w:eastAsia="宋体"/>
        </w:rPr>
      </w:pPr>
      <w:r>
        <w:rPr>
          <w:rFonts w:ascii="宋体" w:hAnsi="宋体"/>
        </w:rPr>
        <w:t>6</w:t>
      </w:r>
      <w:r>
        <w:rPr>
          <w:rFonts w:hint="eastAsia" w:ascii="宋体" w:hAnsi="宋体"/>
        </w:rPr>
        <w:t>、不按购销合同采购药品，不按时结算货款或者其他不履行合同义务的行为的；</w:t>
      </w:r>
    </w:p>
    <w:p>
      <w:pPr>
        <w:ind w:firstLine="31680" w:firstLineChars="200"/>
        <w:rPr>
          <w:rFonts w:ascii="宋体" w:eastAsia="宋体"/>
        </w:rPr>
      </w:pPr>
      <w:r>
        <w:rPr>
          <w:rFonts w:ascii="宋体" w:hAnsi="宋体"/>
        </w:rPr>
        <w:t>7</w:t>
      </w:r>
      <w:r>
        <w:rPr>
          <w:rFonts w:hint="eastAsia" w:ascii="宋体" w:hAnsi="宋体"/>
        </w:rPr>
        <w:t>、药品购销合同签订后，再与企业订立背离合同实质性内容的其他协议，牟取不正当利益的；</w:t>
      </w:r>
    </w:p>
    <w:p>
      <w:pPr>
        <w:ind w:firstLine="31680" w:firstLineChars="200"/>
        <w:rPr>
          <w:rFonts w:ascii="宋体" w:eastAsia="宋体"/>
        </w:rPr>
      </w:pPr>
      <w:r>
        <w:rPr>
          <w:rFonts w:ascii="宋体" w:hAnsi="宋体"/>
        </w:rPr>
        <w:t>8</w:t>
      </w:r>
      <w:r>
        <w:rPr>
          <w:rFonts w:hint="eastAsia" w:ascii="宋体" w:hAnsi="宋体"/>
        </w:rPr>
        <w:t>、超比例采购限制使用产品目录药品的；</w:t>
      </w:r>
    </w:p>
    <w:p>
      <w:pPr>
        <w:ind w:firstLine="31680" w:firstLineChars="200"/>
        <w:rPr>
          <w:rFonts w:ascii="宋体" w:eastAsia="宋体"/>
        </w:rPr>
      </w:pPr>
      <w:r>
        <w:rPr>
          <w:rFonts w:ascii="宋体" w:hAnsi="宋体"/>
        </w:rPr>
        <w:t>9</w:t>
      </w:r>
      <w:r>
        <w:rPr>
          <w:rFonts w:hint="eastAsia" w:ascii="宋体" w:hAnsi="宋体"/>
        </w:rPr>
        <w:t>、不按规定价格采购或销售药品的；</w:t>
      </w:r>
    </w:p>
    <w:p>
      <w:pPr>
        <w:ind w:firstLine="31680" w:firstLineChars="200"/>
        <w:rPr>
          <w:rFonts w:ascii="宋体" w:eastAsia="宋体"/>
        </w:rPr>
      </w:pPr>
      <w:r>
        <w:rPr>
          <w:rFonts w:ascii="宋体" w:hAnsi="宋体"/>
        </w:rPr>
        <w:t>10</w:t>
      </w:r>
      <w:r>
        <w:rPr>
          <w:rFonts w:hint="eastAsia" w:ascii="宋体" w:hAnsi="宋体"/>
        </w:rPr>
        <w:t>、收受药品生产经营企业钱物或其他利益的；</w:t>
      </w:r>
    </w:p>
    <w:p>
      <w:pPr>
        <w:ind w:firstLine="31680" w:firstLineChars="200"/>
        <w:rPr>
          <w:rFonts w:ascii="宋体" w:eastAsia="宋体" w:cs="宋体"/>
          <w:kern w:val="0"/>
        </w:rPr>
      </w:pPr>
      <w:r>
        <w:rPr>
          <w:rFonts w:ascii="宋体" w:hAnsi="宋体"/>
          <w:szCs w:val="32"/>
        </w:rPr>
        <w:t>11</w:t>
      </w:r>
      <w:r>
        <w:rPr>
          <w:rFonts w:hint="eastAsia" w:ascii="宋体" w:hAnsi="宋体"/>
          <w:szCs w:val="32"/>
        </w:rPr>
        <w:t>、其他违反法律法规的行为。</w:t>
      </w:r>
    </w:p>
    <w:p>
      <w:pPr>
        <w:ind w:firstLine="31680" w:firstLineChars="200"/>
        <w:rPr>
          <w:rFonts w:ascii="宋体" w:hAnsi="宋体" w:eastAsia="楷体_GB2312" w:cs="宋体"/>
          <w:kern w:val="0"/>
        </w:rPr>
      </w:pPr>
      <w:r>
        <w:rPr>
          <w:rFonts w:hint="eastAsia" w:ascii="宋体" w:hAnsi="宋体" w:eastAsia="楷体_GB2312" w:cs="宋体"/>
          <w:kern w:val="0"/>
        </w:rPr>
        <w:t>（二）药品生产经营企业违规处理。</w:t>
      </w:r>
    </w:p>
    <w:p>
      <w:pPr>
        <w:ind w:firstLine="31680" w:firstLineChars="200"/>
        <w:rPr>
          <w:rFonts w:ascii="宋体" w:eastAsia="宋体"/>
        </w:rPr>
      </w:pPr>
      <w:r>
        <w:rPr>
          <w:rFonts w:hint="eastAsia" w:ascii="宋体" w:hAnsi="宋体"/>
        </w:rPr>
        <w:t>严格执行《山东省基本药物集中采购不良记录管理办法》各项规定，完善诚信记录和市场清退制度，强化中标企业监管。根据平台交易数据及医疗机构投诉情况，对于一定时期内产品到货率明显偏低、影响临床用药的，及时采取候选中标企业补标等补救措施，保障临床供应。医院被迫使用其他企业替代药品，超支费用由原中标企业承担。</w:t>
      </w:r>
    </w:p>
    <w:p>
      <w:pPr>
        <w:widowControl/>
        <w:jc w:val="left"/>
        <w:rPr>
          <w:rFonts w:ascii="宋体" w:hAnsi="宋体" w:eastAsia="黑体"/>
          <w:sz w:val="36"/>
          <w:szCs w:val="36"/>
        </w:rPr>
      </w:pPr>
    </w:p>
    <w:p>
      <w:pPr>
        <w:tabs>
          <w:tab w:val="left" w:pos="579"/>
        </w:tabs>
        <w:spacing w:after="100" w:afterAutospacing="1"/>
        <w:jc w:val="center"/>
        <w:rPr>
          <w:rFonts w:ascii="宋体" w:hAnsi="宋体" w:eastAsia="黑体"/>
          <w:sz w:val="36"/>
          <w:szCs w:val="36"/>
        </w:rPr>
      </w:pPr>
      <w:r>
        <w:rPr>
          <w:rFonts w:hint="eastAsia" w:ascii="宋体" w:hAnsi="宋体" w:eastAsia="黑体"/>
          <w:sz w:val="36"/>
          <w:szCs w:val="36"/>
        </w:rPr>
        <w:t>第十二部分</w:t>
      </w:r>
      <w:r>
        <w:rPr>
          <w:rFonts w:ascii="宋体" w:hAnsi="宋体" w:eastAsia="黑体"/>
          <w:sz w:val="36"/>
          <w:szCs w:val="36"/>
        </w:rPr>
        <w:t xml:space="preserve">  </w:t>
      </w:r>
      <w:r>
        <w:rPr>
          <w:rFonts w:hint="eastAsia" w:ascii="宋体" w:hAnsi="宋体" w:eastAsia="黑体"/>
          <w:sz w:val="36"/>
          <w:szCs w:val="36"/>
        </w:rPr>
        <w:t>附</w:t>
      </w:r>
      <w:r>
        <w:rPr>
          <w:rFonts w:ascii="宋体" w:hAnsi="宋体" w:eastAsia="黑体"/>
          <w:sz w:val="36"/>
          <w:szCs w:val="36"/>
        </w:rPr>
        <w:t xml:space="preserve">  </w:t>
      </w:r>
      <w:r>
        <w:rPr>
          <w:rFonts w:hint="eastAsia" w:ascii="宋体" w:hAnsi="宋体" w:eastAsia="黑体"/>
          <w:sz w:val="36"/>
          <w:szCs w:val="36"/>
        </w:rPr>
        <w:t>则</w:t>
      </w:r>
    </w:p>
    <w:p>
      <w:pPr>
        <w:adjustRightInd w:val="0"/>
        <w:ind w:firstLine="31680" w:firstLineChars="200"/>
        <w:rPr>
          <w:rFonts w:ascii="宋体" w:eastAsia="宋体" w:cs="仿宋_GB2312"/>
        </w:rPr>
      </w:pPr>
      <w:r>
        <w:rPr>
          <w:rFonts w:hint="eastAsia" w:ascii="宋体" w:hAnsi="宋体" w:cs="仿宋_GB2312"/>
        </w:rPr>
        <w:t>一、本采购文件由省药采中心负责解释。</w:t>
      </w:r>
    </w:p>
    <w:p>
      <w:pPr>
        <w:tabs>
          <w:tab w:val="left" w:pos="579"/>
        </w:tabs>
        <w:ind w:firstLine="31680" w:firstLineChars="200"/>
        <w:rPr>
          <w:rFonts w:ascii="宋体" w:eastAsia="宋体" w:cs="仿宋_GB2312"/>
        </w:rPr>
      </w:pPr>
      <w:r>
        <w:rPr>
          <w:rFonts w:hint="eastAsia" w:ascii="宋体" w:hAnsi="宋体" w:cs="仿宋_GB2312"/>
        </w:rPr>
        <w:t>二、在采购周期中，如遇国家和我省药品相关政策调整的，经省药品集中采购工作联席会议研究后，执行相应政策。</w:t>
      </w:r>
    </w:p>
    <w:p>
      <w:pPr>
        <w:tabs>
          <w:tab w:val="left" w:pos="579"/>
        </w:tabs>
        <w:ind w:firstLine="31680" w:firstLineChars="200"/>
        <w:rPr>
          <w:rFonts w:ascii="宋体" w:eastAsia="宋体" w:cs="仿宋_GB2312"/>
        </w:rPr>
      </w:pPr>
      <w:r>
        <w:rPr>
          <w:rFonts w:hint="eastAsia" w:ascii="宋体" w:hAnsi="宋体" w:cs="仿宋_GB2312"/>
        </w:rPr>
        <w:t>三、本采购文件自发布之日起实施。</w:t>
      </w:r>
    </w:p>
    <w:p>
      <w:pPr>
        <w:ind w:firstLine="31680" w:firstLineChars="200"/>
        <w:rPr>
          <w:rFonts w:ascii="宋体" w:eastAsia="宋体" w:cs="宋体"/>
          <w:kern w:val="0"/>
        </w:rPr>
      </w:pPr>
    </w:p>
    <w:p>
      <w:pPr>
        <w:ind w:firstLine="31680" w:firstLineChars="200"/>
        <w:rPr>
          <w:rFonts w:ascii="宋体" w:eastAsia="宋体" w:cs="宋体"/>
          <w:kern w:val="0"/>
        </w:rPr>
      </w:pPr>
      <w:r>
        <w:rPr>
          <w:rFonts w:hint="eastAsia" w:ascii="宋体" w:hAnsi="宋体" w:cs="宋体"/>
          <w:kern w:val="0"/>
        </w:rPr>
        <w:t>附件：</w:t>
      </w:r>
      <w:r>
        <w:rPr>
          <w:rFonts w:ascii="宋体" w:hAnsi="宋体" w:cs="宋体"/>
          <w:kern w:val="0"/>
        </w:rPr>
        <w:t>1</w:t>
      </w:r>
      <w:r>
        <w:rPr>
          <w:rFonts w:hint="eastAsia" w:ascii="宋体" w:hAnsi="宋体" w:cs="宋体"/>
          <w:kern w:val="0"/>
        </w:rPr>
        <w:t>、名词解释</w:t>
      </w:r>
    </w:p>
    <w:p>
      <w:pPr>
        <w:ind w:firstLine="31680" w:firstLineChars="500"/>
        <w:rPr>
          <w:rFonts w:ascii="宋体" w:eastAsia="宋体" w:cs="宋体"/>
          <w:kern w:val="0"/>
        </w:rPr>
      </w:pPr>
      <w:r>
        <w:rPr>
          <w:rFonts w:ascii="宋体" w:hAnsi="宋体" w:cs="宋体"/>
          <w:kern w:val="0"/>
        </w:rPr>
        <w:t>2</w:t>
      </w:r>
      <w:r>
        <w:rPr>
          <w:rFonts w:hint="eastAsia" w:ascii="宋体" w:hAnsi="宋体" w:cs="宋体"/>
          <w:kern w:val="0"/>
        </w:rPr>
        <w:t>、药品剂型划分</w:t>
      </w:r>
    </w:p>
    <w:p>
      <w:pPr>
        <w:ind w:firstLine="31680" w:firstLineChars="200"/>
        <w:rPr>
          <w:rFonts w:ascii="宋体" w:eastAsia="宋体" w:cs="宋体"/>
          <w:kern w:val="0"/>
        </w:rPr>
      </w:pPr>
      <w:r>
        <w:rPr>
          <w:rFonts w:ascii="宋体" w:hAnsi="宋体" w:cs="宋体"/>
          <w:kern w:val="0"/>
        </w:rPr>
        <w:t xml:space="preserve">      3</w:t>
      </w:r>
      <w:r>
        <w:rPr>
          <w:rFonts w:hint="eastAsia" w:ascii="宋体" w:hAnsi="宋体" w:cs="宋体"/>
          <w:kern w:val="0"/>
        </w:rPr>
        <w:t>、经济技术标评标体系</w:t>
      </w:r>
    </w:p>
    <w:p>
      <w:pPr>
        <w:adjustRightInd w:val="0"/>
        <w:snapToGrid w:val="0"/>
        <w:spacing w:line="580" w:lineRule="exact"/>
        <w:ind w:left="31680" w:leftChars="500" w:hangingChars="100" w:firstLine="31680"/>
        <w:rPr>
          <w:rFonts w:ascii="仿宋_GB2312" w:hAnsi="仿宋"/>
          <w:snapToGrid w:val="0"/>
          <w:color w:val="000000"/>
          <w:szCs w:val="32"/>
        </w:rPr>
      </w:pPr>
      <w:r>
        <w:rPr>
          <w:rFonts w:ascii="宋体" w:hAnsi="宋体" w:cs="仿宋_GB2312"/>
          <w:kern w:val="0"/>
          <w:szCs w:val="32"/>
        </w:rPr>
        <w:t>4</w:t>
      </w:r>
      <w:r>
        <w:rPr>
          <w:rFonts w:hint="eastAsia" w:ascii="宋体" w:hAnsi="宋体" w:cs="仿宋_GB2312"/>
          <w:kern w:val="0"/>
          <w:szCs w:val="32"/>
        </w:rPr>
        <w:t>、</w:t>
      </w:r>
      <w:r>
        <w:rPr>
          <w:rFonts w:hint="eastAsia" w:ascii="仿宋_GB2312" w:hAnsi="仿宋"/>
          <w:snapToGrid w:val="0"/>
          <w:color w:val="000000"/>
          <w:szCs w:val="32"/>
        </w:rPr>
        <w:t>美国《制药经理人》（</w:t>
      </w:r>
      <w:r>
        <w:rPr>
          <w:rFonts w:ascii="仿宋_GB2312" w:hAnsi="仿宋"/>
          <w:snapToGrid w:val="0"/>
          <w:color w:val="000000"/>
          <w:szCs w:val="32"/>
        </w:rPr>
        <w:t>Pharmaceutical Executive</w:t>
      </w:r>
      <w:r>
        <w:rPr>
          <w:rFonts w:hint="eastAsia" w:ascii="仿宋_GB2312" w:hAnsi="仿宋"/>
          <w:snapToGrid w:val="0"/>
          <w:color w:val="000000"/>
          <w:szCs w:val="32"/>
        </w:rPr>
        <w:t>）</w:t>
      </w:r>
      <w:r>
        <w:rPr>
          <w:rFonts w:ascii="仿宋_GB2312" w:hAnsi="仿宋"/>
          <w:snapToGrid w:val="0"/>
          <w:color w:val="000000"/>
          <w:szCs w:val="32"/>
        </w:rPr>
        <w:t>2014</w:t>
      </w:r>
      <w:r>
        <w:rPr>
          <w:rFonts w:hint="eastAsia" w:ascii="仿宋_GB2312" w:hAnsi="仿宋"/>
          <w:snapToGrid w:val="0"/>
          <w:color w:val="000000"/>
          <w:szCs w:val="32"/>
        </w:rPr>
        <w:t>年度排名前</w:t>
      </w:r>
      <w:r>
        <w:rPr>
          <w:rFonts w:ascii="仿宋_GB2312" w:hAnsi="仿宋"/>
          <w:snapToGrid w:val="0"/>
          <w:color w:val="000000"/>
          <w:szCs w:val="32"/>
        </w:rPr>
        <w:t>50</w:t>
      </w:r>
      <w:r>
        <w:rPr>
          <w:rFonts w:hint="eastAsia" w:ascii="仿宋_GB2312" w:hAnsi="仿宋"/>
          <w:snapToGrid w:val="0"/>
          <w:color w:val="000000"/>
          <w:szCs w:val="32"/>
        </w:rPr>
        <w:t>强企业名单</w:t>
      </w:r>
    </w:p>
    <w:p>
      <w:pPr>
        <w:rPr>
          <w:rFonts w:ascii="宋体" w:hAnsi="宋体" w:eastAsia="宋体"/>
          <w:b/>
          <w:color w:val="000000"/>
          <w:sz w:val="44"/>
          <w:szCs w:val="44"/>
        </w:rPr>
      </w:pPr>
      <w:r>
        <w:rPr>
          <w:rFonts w:ascii="宋体" w:eastAsia="宋体"/>
        </w:rPr>
        <w:br w:type="page"/>
      </w:r>
      <w:r>
        <w:rPr>
          <w:rFonts w:hint="eastAsia" w:ascii="宋体" w:hAnsi="宋体" w:eastAsia="黑体" w:cs="黑体"/>
          <w:kern w:val="0"/>
        </w:rPr>
        <w:t>附件</w:t>
      </w:r>
      <w:r>
        <w:rPr>
          <w:rFonts w:ascii="宋体" w:hAnsi="宋体" w:eastAsia="黑体" w:cs="黑体"/>
          <w:kern w:val="0"/>
        </w:rPr>
        <w:t>1</w:t>
      </w:r>
      <w:r>
        <w:rPr>
          <w:rFonts w:hint="eastAsia" w:ascii="宋体" w:hAnsi="宋体" w:eastAsia="黑体" w:cs="黑体"/>
          <w:kern w:val="0"/>
        </w:rPr>
        <w:t>：</w:t>
      </w:r>
    </w:p>
    <w:p>
      <w:pPr>
        <w:jc w:val="center"/>
        <w:rPr>
          <w:rFonts w:ascii="宋体" w:hAnsi="宋体" w:eastAsia="宋体"/>
          <w:b/>
          <w:color w:val="000000"/>
          <w:sz w:val="44"/>
          <w:szCs w:val="44"/>
        </w:rPr>
      </w:pPr>
      <w:r>
        <w:rPr>
          <w:rFonts w:hint="eastAsia" w:ascii="宋体" w:hAnsi="宋体" w:eastAsia="宋体"/>
          <w:b/>
          <w:color w:val="000000"/>
          <w:sz w:val="44"/>
          <w:szCs w:val="44"/>
        </w:rPr>
        <w:t>名词解释</w:t>
      </w:r>
    </w:p>
    <w:p>
      <w:pPr>
        <w:ind w:firstLine="31680" w:firstLineChars="200"/>
        <w:rPr>
          <w:color w:val="000000"/>
        </w:rPr>
      </w:pPr>
      <w:r>
        <w:rPr>
          <w:rFonts w:hint="eastAsia" w:ascii="仿宋_GB2312" w:hAnsi="仿宋"/>
          <w:color w:val="000000"/>
          <w:szCs w:val="32"/>
        </w:rPr>
        <w:t>一、专利药品：指具有我国知识产权局授予的有效期内的化合物实体专利、中成药组方专利、药物有效成分组合专利、天然物提取物专利</w:t>
      </w:r>
      <w:r>
        <w:rPr>
          <w:rFonts w:hint="eastAsia"/>
          <w:color w:val="000000"/>
        </w:rPr>
        <w:t>、</w:t>
      </w:r>
      <w:r>
        <w:rPr>
          <w:rFonts w:hint="eastAsia" w:ascii="仿宋_GB2312" w:hAnsi="仿宋"/>
          <w:color w:val="000000"/>
          <w:szCs w:val="32"/>
        </w:rPr>
        <w:t>微生物及其代谢物专利证书的药品。以国家知识产权局</w:t>
      </w:r>
      <w:r>
        <w:rPr>
          <w:rFonts w:ascii="仿宋_GB2312" w:hAnsi="仿宋"/>
          <w:color w:val="000000"/>
          <w:szCs w:val="32"/>
        </w:rPr>
        <w:t>(</w:t>
      </w:r>
      <w:r>
        <w:rPr>
          <w:rFonts w:hint="eastAsia" w:ascii="仿宋_GB2312" w:hAnsi="仿宋"/>
          <w:color w:val="000000"/>
          <w:szCs w:val="32"/>
        </w:rPr>
        <w:t>国家专利局</w:t>
      </w:r>
      <w:r>
        <w:rPr>
          <w:rFonts w:ascii="仿宋_GB2312" w:hAnsi="仿宋"/>
          <w:color w:val="000000"/>
          <w:szCs w:val="32"/>
        </w:rPr>
        <w:t>)</w:t>
      </w:r>
      <w:r>
        <w:rPr>
          <w:rFonts w:hint="eastAsia" w:ascii="仿宋_GB2312" w:hAnsi="仿宋"/>
          <w:color w:val="000000"/>
          <w:szCs w:val="32"/>
        </w:rPr>
        <w:t>的相关专利证书为依据。如专利权发生转让的需提交知识产权局相关证明文件。</w:t>
      </w:r>
    </w:p>
    <w:p>
      <w:pPr>
        <w:ind w:firstLine="31680" w:firstLineChars="200"/>
        <w:rPr>
          <w:rFonts w:ascii="仿宋_GB2312" w:hAnsi="仿宋"/>
          <w:color w:val="000000"/>
          <w:szCs w:val="32"/>
        </w:rPr>
      </w:pPr>
      <w:r>
        <w:rPr>
          <w:rFonts w:hint="eastAsia" w:ascii="仿宋_GB2312" w:hAnsi="仿宋"/>
          <w:color w:val="000000"/>
          <w:szCs w:val="32"/>
        </w:rPr>
        <w:t>（一）化合物实体专利：是指新化合物的发明专利，在其专利文件中应当有化合物的名称、分子式、结构等关键表征，保护的对象是化合物本身。不包括改变酸根、碱基、金属元素、结晶形式等为特征的化合物专利。</w:t>
      </w:r>
    </w:p>
    <w:p>
      <w:pPr>
        <w:ind w:firstLine="31680" w:firstLineChars="200"/>
        <w:rPr>
          <w:rFonts w:ascii="仿宋_GB2312" w:hAnsi="仿宋"/>
          <w:color w:val="000000"/>
          <w:szCs w:val="32"/>
        </w:rPr>
      </w:pPr>
      <w:r>
        <w:rPr>
          <w:rFonts w:hint="eastAsia" w:ascii="仿宋_GB2312" w:hAnsi="仿宋"/>
          <w:color w:val="000000"/>
          <w:szCs w:val="32"/>
        </w:rPr>
        <w:t>（二）</w:t>
      </w:r>
      <w:r>
        <w:rPr>
          <w:rFonts w:ascii="仿宋_GB2312" w:hAnsi="仿宋"/>
          <w:color w:val="000000"/>
          <w:szCs w:val="32"/>
        </w:rPr>
        <w:t xml:space="preserve"> </w:t>
      </w:r>
      <w:r>
        <w:rPr>
          <w:rFonts w:hint="eastAsia" w:ascii="仿宋_GB2312" w:hAnsi="仿宋"/>
          <w:color w:val="000000"/>
          <w:szCs w:val="32"/>
        </w:rPr>
        <w:t>中成药组方专利：是指以中药材或其提取物为原料，在中医药理论指导下，按照规定的处方组成和制备工艺加工生产的，供临床医师辨证施治的药物专利。</w:t>
      </w:r>
      <w:r>
        <w:rPr>
          <w:rFonts w:ascii="仿宋_GB2312" w:hAnsi="仿宋"/>
          <w:color w:val="000000"/>
          <w:szCs w:val="32"/>
        </w:rPr>
        <w:t xml:space="preserve"> </w:t>
      </w:r>
    </w:p>
    <w:p>
      <w:pPr>
        <w:ind w:firstLine="31680" w:firstLineChars="200"/>
        <w:rPr>
          <w:rFonts w:ascii="仿宋_GB2312" w:hAnsi="仿宋"/>
          <w:color w:val="000000"/>
          <w:szCs w:val="32"/>
        </w:rPr>
      </w:pPr>
      <w:r>
        <w:rPr>
          <w:rFonts w:hint="eastAsia" w:ascii="仿宋_GB2312" w:hAnsi="仿宋"/>
          <w:color w:val="000000"/>
          <w:szCs w:val="32"/>
        </w:rPr>
        <w:t>（三）药物有效成分组合专利：是指对两种或两种以上的药物成分组成的保护专利，在其专利文件中应当有组分或者含量等组成特点的关键表征，并在专利名称、摘要、权利要求等内容中明确表述其为组合物专利。不包括以有效成分与辅料、溶媒等成分构成的组合。</w:t>
      </w:r>
    </w:p>
    <w:p>
      <w:pPr>
        <w:ind w:firstLine="31680" w:firstLineChars="200"/>
        <w:rPr>
          <w:rFonts w:ascii="仿宋_GB2312" w:hAnsi="仿宋"/>
          <w:color w:val="000000"/>
          <w:szCs w:val="32"/>
        </w:rPr>
      </w:pPr>
      <w:r>
        <w:rPr>
          <w:rFonts w:hint="eastAsia" w:ascii="仿宋_GB2312" w:hAnsi="仿宋"/>
          <w:color w:val="000000"/>
          <w:szCs w:val="32"/>
        </w:rPr>
        <w:t>（四）天然物提取物专利：首次从自然界分离或提取出来的物质的保护专利，该物质结构、形态或者其它物理化学参数等应在其专利文件中被确切地表征。</w:t>
      </w:r>
    </w:p>
    <w:p>
      <w:pPr>
        <w:ind w:firstLine="31680" w:firstLineChars="200"/>
        <w:rPr>
          <w:rFonts w:ascii="仿宋_GB2312" w:hAnsi="仿宋"/>
          <w:color w:val="000000"/>
          <w:szCs w:val="32"/>
        </w:rPr>
      </w:pPr>
      <w:r>
        <w:rPr>
          <w:rFonts w:hint="eastAsia" w:ascii="仿宋_GB2312" w:hAnsi="仿宋"/>
          <w:color w:val="000000"/>
          <w:szCs w:val="32"/>
        </w:rPr>
        <w:t>（五）微生物及其代谢物专利：对细菌、放线菌、真菌、病毒、原生动物、藻类等微生物种经过筛选、突变、重组等方法得到并分离的纯培养物和其代谢物质的保护专利。</w:t>
      </w:r>
    </w:p>
    <w:p>
      <w:pPr>
        <w:spacing w:line="360" w:lineRule="auto"/>
        <w:ind w:firstLine="31680" w:firstLineChars="200"/>
        <w:rPr>
          <w:rFonts w:ascii="仿宋_GB2312" w:hAnsi="仿宋"/>
          <w:color w:val="000000"/>
          <w:szCs w:val="32"/>
        </w:rPr>
      </w:pPr>
      <w:r>
        <w:rPr>
          <w:rFonts w:hint="eastAsia" w:ascii="仿宋_GB2312" w:hAnsi="仿宋"/>
          <w:color w:val="000000"/>
          <w:szCs w:val="32"/>
        </w:rPr>
        <w:t>二、过保护期的专利药品：指在原发明国</w:t>
      </w:r>
      <w:r>
        <w:rPr>
          <w:rFonts w:ascii="仿宋_GB2312" w:hAnsi="仿宋"/>
          <w:color w:val="000000"/>
          <w:szCs w:val="32"/>
        </w:rPr>
        <w:t>/</w:t>
      </w:r>
      <w:r>
        <w:rPr>
          <w:rFonts w:hint="eastAsia" w:ascii="仿宋_GB2312" w:hAnsi="仿宋"/>
          <w:color w:val="000000"/>
          <w:szCs w:val="32"/>
        </w:rPr>
        <w:t>地区曾经取得上述药品专利证书（包括</w:t>
      </w:r>
      <w:r>
        <w:rPr>
          <w:rFonts w:hint="eastAsia" w:ascii="仿宋_GB2312" w:hAnsi="仿宋"/>
          <w:snapToGrid w:val="0"/>
          <w:szCs w:val="32"/>
        </w:rPr>
        <w:t>原研专利授权联合生产的药品</w:t>
      </w:r>
      <w:r>
        <w:rPr>
          <w:rFonts w:hint="eastAsia" w:ascii="仿宋_GB2312" w:hAnsi="仿宋"/>
          <w:color w:val="000000"/>
          <w:szCs w:val="32"/>
        </w:rPr>
        <w:t>），目前已过保护期，并且是中国质量一致性评价参照药品或国家发改委原公布的特定生产企业的药品。</w:t>
      </w:r>
    </w:p>
    <w:p>
      <w:pPr>
        <w:spacing w:line="360" w:lineRule="auto"/>
        <w:ind w:firstLine="31680" w:firstLineChars="200"/>
        <w:rPr>
          <w:rFonts w:ascii="仿宋_GB2312" w:hAnsi="仿宋"/>
          <w:color w:val="000000"/>
          <w:szCs w:val="32"/>
        </w:rPr>
      </w:pPr>
      <w:r>
        <w:rPr>
          <w:rFonts w:hint="eastAsia" w:ascii="仿宋_GB2312" w:hAnsi="仿宋"/>
          <w:color w:val="000000"/>
          <w:szCs w:val="32"/>
        </w:rPr>
        <w:t>三、国家</w:t>
      </w:r>
      <w:r>
        <w:rPr>
          <w:rFonts w:ascii="仿宋_GB2312" w:hAnsi="仿宋"/>
          <w:color w:val="000000"/>
          <w:szCs w:val="32"/>
        </w:rPr>
        <w:t>1</w:t>
      </w:r>
      <w:r>
        <w:rPr>
          <w:rFonts w:hint="eastAsia" w:ascii="仿宋_GB2312" w:hAnsi="仿宋"/>
          <w:color w:val="000000"/>
          <w:szCs w:val="32"/>
        </w:rPr>
        <w:t>类新药：指国家</w:t>
      </w:r>
      <w:r>
        <w:rPr>
          <w:rFonts w:ascii="仿宋_GB2312" w:hAnsi="仿宋"/>
          <w:color w:val="000000"/>
          <w:szCs w:val="32"/>
        </w:rPr>
        <w:t>1</w:t>
      </w:r>
      <w:r>
        <w:rPr>
          <w:rFonts w:hint="eastAsia" w:ascii="仿宋_GB2312" w:hAnsi="仿宋"/>
          <w:color w:val="000000"/>
          <w:szCs w:val="32"/>
        </w:rPr>
        <w:t>类新药或国家一类新药。获得国家食品药品监督管理（总）局颁发的生产批件上注明</w:t>
      </w:r>
      <w:r>
        <w:rPr>
          <w:rFonts w:ascii="仿宋_GB2312" w:hAnsi="仿宋"/>
          <w:color w:val="000000"/>
          <w:szCs w:val="32"/>
        </w:rPr>
        <w:t>1</w:t>
      </w:r>
      <w:r>
        <w:rPr>
          <w:rFonts w:hint="eastAsia" w:ascii="仿宋_GB2312" w:hAnsi="仿宋"/>
          <w:color w:val="000000"/>
          <w:szCs w:val="32"/>
        </w:rPr>
        <w:t>类新药且具有国家</w:t>
      </w:r>
      <w:r>
        <w:rPr>
          <w:rFonts w:ascii="仿宋_GB2312" w:hAnsi="仿宋"/>
          <w:color w:val="000000"/>
          <w:szCs w:val="32"/>
        </w:rPr>
        <w:t>1</w:t>
      </w:r>
      <w:r>
        <w:rPr>
          <w:rFonts w:hint="eastAsia" w:ascii="仿宋_GB2312" w:hAnsi="仿宋"/>
          <w:color w:val="000000"/>
          <w:szCs w:val="32"/>
        </w:rPr>
        <w:t>类新药证书的药品。以国家食品药品监督管理（总）局核发的《国家新药证书》和《药品注册批件》为认定依据。新药证书和生产批件必须直接颁发给生产企业的投标药品。化学药品注册分类</w:t>
      </w:r>
      <w:r>
        <w:rPr>
          <w:rFonts w:ascii="仿宋_GB2312" w:hAnsi="仿宋"/>
          <w:color w:val="000000"/>
          <w:szCs w:val="32"/>
        </w:rPr>
        <w:t>1.6</w:t>
      </w:r>
      <w:r>
        <w:rPr>
          <w:rFonts w:hint="eastAsia" w:ascii="仿宋_GB2312" w:hAnsi="仿宋"/>
          <w:color w:val="000000"/>
          <w:szCs w:val="32"/>
        </w:rPr>
        <w:t>类新药可不提供新药证书。</w:t>
      </w:r>
    </w:p>
    <w:p>
      <w:pPr>
        <w:ind w:firstLine="31680" w:firstLineChars="200"/>
        <w:rPr>
          <w:rFonts w:ascii="仿宋_GB2312" w:hAnsi="仿宋"/>
          <w:color w:val="000000"/>
          <w:szCs w:val="32"/>
        </w:rPr>
      </w:pPr>
      <w:r>
        <w:rPr>
          <w:rFonts w:hint="eastAsia" w:ascii="仿宋_GB2312" w:hAnsi="仿宋"/>
          <w:color w:val="000000"/>
          <w:szCs w:val="32"/>
        </w:rPr>
        <w:t>四、国家科学技术奖二等奖以上的药品：指生产企业获得质量相关的国家科学技术进步奖二等奖及以上的药品。不包括以获得上述奖项的通用技术或其它通用研究成果而研制的药品。</w:t>
      </w:r>
    </w:p>
    <w:p>
      <w:pPr>
        <w:ind w:firstLine="31680" w:firstLineChars="200"/>
        <w:rPr>
          <w:rFonts w:ascii="仿宋_GB2312" w:hAnsi="仿宋"/>
          <w:color w:val="000000"/>
          <w:szCs w:val="32"/>
        </w:rPr>
      </w:pPr>
      <w:r>
        <w:rPr>
          <w:rFonts w:hint="eastAsia" w:ascii="仿宋_GB2312" w:hAnsi="仿宋"/>
          <w:color w:val="000000"/>
          <w:szCs w:val="32"/>
        </w:rPr>
        <w:t>五、中药保护品种：指获得国家食品药品监督管理总局核发的《中药保护品种证书》且在保护期内的药品。包括中药保护一级、二级。</w:t>
      </w:r>
    </w:p>
    <w:p>
      <w:pPr>
        <w:ind w:firstLine="31680" w:firstLineChars="200"/>
        <w:rPr>
          <w:rFonts w:ascii="仿宋_GB2312" w:hAnsi="仿宋"/>
          <w:color w:val="000000"/>
          <w:szCs w:val="32"/>
        </w:rPr>
      </w:pPr>
      <w:r>
        <w:rPr>
          <w:rFonts w:hint="eastAsia" w:ascii="仿宋_GB2312" w:hAnsi="仿宋"/>
          <w:color w:val="000000"/>
          <w:szCs w:val="32"/>
        </w:rPr>
        <w:t>六、通过质量一致性评价的仿制药品</w:t>
      </w:r>
      <w:r>
        <w:rPr>
          <w:rFonts w:hint="eastAsia" w:ascii="仿宋_GB2312" w:hAnsi="仿宋"/>
          <w:snapToGrid w:val="0"/>
          <w:color w:val="000000"/>
          <w:szCs w:val="32"/>
        </w:rPr>
        <w:t>：</w:t>
      </w:r>
      <w:r>
        <w:rPr>
          <w:rFonts w:hint="eastAsia" w:ascii="仿宋_GB2312" w:hAnsi="仿宋"/>
          <w:color w:val="000000"/>
          <w:szCs w:val="32"/>
        </w:rPr>
        <w:t>国家食品药品监督管理部门组织相关技术部门及专家，对药品生产企业提出的仿制药自我评估资料，按照给定的评价方法和标准，评价其与被仿制药在内在物质和临床疗效上具有一致性的药品。以国家食品药品监督管理部门对外公布的信息为准。</w:t>
      </w:r>
    </w:p>
    <w:p>
      <w:pPr>
        <w:ind w:firstLine="31680" w:firstLineChars="200"/>
        <w:rPr>
          <w:rFonts w:ascii="仿宋_GB2312" w:hAnsi="仿宋"/>
          <w:color w:val="000000"/>
          <w:szCs w:val="32"/>
        </w:rPr>
      </w:pPr>
      <w:r>
        <w:rPr>
          <w:rFonts w:hint="eastAsia" w:ascii="仿宋_GB2312" w:hAnsi="仿宋"/>
          <w:color w:val="000000"/>
          <w:szCs w:val="32"/>
        </w:rPr>
        <w:t>七、国家重大新药创制科技重大专项药品：指纳入国家重大新药创制科技重大专项项目并在之后获得国家新药证书的药品。以国家相关部委文件为依据，须</w:t>
      </w:r>
      <w:r>
        <w:rPr>
          <w:rFonts w:hint="eastAsia" w:ascii="仿宋_GB2312" w:hAnsi="仿宋"/>
          <w:snapToGrid w:val="0"/>
          <w:color w:val="000000"/>
          <w:szCs w:val="32"/>
        </w:rPr>
        <w:t>提供重大专项办公室等国家相关部门出具的立项通知、任务验收专家意见书及新药证书等证明材料。</w:t>
      </w:r>
    </w:p>
    <w:p>
      <w:pPr>
        <w:ind w:firstLine="31680" w:firstLineChars="200"/>
        <w:rPr>
          <w:rFonts w:ascii="仿宋_GB2312" w:hAnsi="仿宋"/>
          <w:color w:val="000000"/>
          <w:szCs w:val="32"/>
        </w:rPr>
      </w:pPr>
      <w:r>
        <w:rPr>
          <w:rFonts w:hint="eastAsia" w:ascii="仿宋_GB2312" w:hAnsi="仿宋"/>
          <w:color w:val="000000"/>
          <w:szCs w:val="32"/>
        </w:rPr>
        <w:t>八、国家保密处方：是获得科学技术部和国家保密局核发的国家保密处方证书且在保护期内的药品。</w:t>
      </w:r>
    </w:p>
    <w:p>
      <w:pPr>
        <w:ind w:firstLine="31680" w:firstLineChars="200"/>
        <w:rPr>
          <w:rFonts w:ascii="仿宋_GB2312" w:hAnsi="仿宋"/>
          <w:color w:val="000000"/>
          <w:szCs w:val="32"/>
        </w:rPr>
      </w:pPr>
      <w:r>
        <w:rPr>
          <w:rFonts w:hint="eastAsia" w:ascii="仿宋_GB2312" w:hAnsi="仿宋"/>
          <w:color w:val="000000"/>
          <w:szCs w:val="32"/>
        </w:rPr>
        <w:t>九、香港医院管理局采购药品：指获得香港医院管理局</w:t>
      </w:r>
      <w:r>
        <w:rPr>
          <w:rFonts w:ascii="仿宋_GB2312" w:hAnsi="仿宋"/>
          <w:color w:val="000000"/>
          <w:szCs w:val="32"/>
        </w:rPr>
        <w:t xml:space="preserve">  2013</w:t>
      </w:r>
      <w:r>
        <w:rPr>
          <w:rFonts w:hint="eastAsia" w:ascii="仿宋_GB2312" w:hAnsi="仿宋"/>
          <w:color w:val="000000"/>
          <w:szCs w:val="32"/>
        </w:rPr>
        <w:t>年以来采购资格的药品。须提交获得采购资格的证明材料。</w:t>
      </w:r>
    </w:p>
    <w:p>
      <w:pPr>
        <w:ind w:firstLine="31680" w:firstLineChars="200"/>
        <w:rPr>
          <w:rFonts w:ascii="仿宋_GB2312" w:hAnsi="仿宋"/>
          <w:color w:val="000000"/>
          <w:szCs w:val="32"/>
        </w:rPr>
      </w:pPr>
      <w:r>
        <w:rPr>
          <w:rFonts w:hint="eastAsia" w:ascii="仿宋_GB2312" w:hAnsi="仿宋"/>
          <w:color w:val="000000"/>
          <w:szCs w:val="32"/>
        </w:rPr>
        <w:t>十、获得美国、欧盟、澳大利亚及日本制剂认证药品：指通过并获得美国</w:t>
      </w:r>
      <w:r>
        <w:rPr>
          <w:rFonts w:ascii="仿宋_GB2312" w:hAnsi="仿宋"/>
          <w:color w:val="000000"/>
          <w:szCs w:val="32"/>
        </w:rPr>
        <w:t>FDA</w:t>
      </w:r>
      <w:r>
        <w:rPr>
          <w:rFonts w:hint="eastAsia" w:ascii="仿宋_GB2312" w:hAnsi="仿宋"/>
          <w:color w:val="000000"/>
          <w:szCs w:val="32"/>
        </w:rPr>
        <w:t>认证证书、欧盟</w:t>
      </w:r>
      <w:r>
        <w:rPr>
          <w:rFonts w:ascii="仿宋_GB2312" w:hAnsi="仿宋"/>
          <w:color w:val="000000"/>
          <w:szCs w:val="32"/>
        </w:rPr>
        <w:t>CGMP</w:t>
      </w:r>
      <w:r>
        <w:rPr>
          <w:rFonts w:hint="eastAsia" w:ascii="仿宋_GB2312" w:hAnsi="仿宋"/>
          <w:color w:val="000000"/>
          <w:szCs w:val="32"/>
        </w:rPr>
        <w:t>认证证书（仅指英、法、德）、澳大利亚</w:t>
      </w:r>
      <w:r>
        <w:rPr>
          <w:rFonts w:ascii="仿宋_GB2312" w:hAnsi="仿宋"/>
          <w:color w:val="000000"/>
          <w:szCs w:val="32"/>
        </w:rPr>
        <w:t>TGA</w:t>
      </w:r>
      <w:r>
        <w:rPr>
          <w:rFonts w:hint="eastAsia" w:ascii="仿宋_GB2312" w:hAnsi="仿宋"/>
          <w:color w:val="000000"/>
          <w:szCs w:val="32"/>
        </w:rPr>
        <w:t>认证、及日本</w:t>
      </w:r>
      <w:r>
        <w:rPr>
          <w:rFonts w:ascii="仿宋_GB2312" w:hAnsi="仿宋"/>
          <w:color w:val="000000"/>
          <w:szCs w:val="32"/>
        </w:rPr>
        <w:t>JGMP</w:t>
      </w:r>
      <w:r>
        <w:rPr>
          <w:rFonts w:hint="eastAsia" w:ascii="仿宋_GB2312" w:hAnsi="仿宋"/>
          <w:color w:val="000000"/>
          <w:szCs w:val="32"/>
        </w:rPr>
        <w:t>认证证书的制剂生产线生产且在相应国家注册的药品，仅指药物制剂，不包括原料药和车间认证。须提供网站认证和注册的查询路径及相关证明材料中文翻译件。</w:t>
      </w:r>
    </w:p>
    <w:p>
      <w:pPr>
        <w:ind w:firstLine="31680" w:firstLineChars="200"/>
        <w:rPr>
          <w:rFonts w:ascii="仿宋_GB2312" w:hAnsi="仿宋"/>
          <w:color w:val="000000"/>
          <w:szCs w:val="32"/>
        </w:rPr>
      </w:pPr>
      <w:r>
        <w:rPr>
          <w:rFonts w:hint="eastAsia" w:ascii="仿宋_GB2312" w:hAnsi="仿宋"/>
          <w:color w:val="000000"/>
          <w:szCs w:val="32"/>
        </w:rPr>
        <w:t>十一、国家重点新产品：指生产企业获得《国家重点新产品证书》，且证书在有效期内。</w:t>
      </w:r>
    </w:p>
    <w:p>
      <w:pPr>
        <w:ind w:firstLine="31680" w:firstLineChars="200"/>
        <w:rPr>
          <w:rFonts w:ascii="仿宋_GB2312" w:hAnsi="仿宋"/>
          <w:color w:val="000000"/>
          <w:szCs w:val="32"/>
        </w:rPr>
      </w:pPr>
      <w:r>
        <w:rPr>
          <w:rFonts w:hint="eastAsia" w:ascii="仿宋_GB2312" w:hAnsi="仿宋"/>
          <w:snapToGrid w:val="0"/>
          <w:color w:val="000000"/>
          <w:szCs w:val="32"/>
        </w:rPr>
        <w:t>十二、</w:t>
      </w:r>
      <w:r>
        <w:rPr>
          <w:rFonts w:hint="eastAsia" w:ascii="仿宋_GB2312" w:hAnsi="仿宋"/>
          <w:color w:val="000000"/>
          <w:szCs w:val="32"/>
        </w:rPr>
        <w:t>首次仿制专利的药品：</w:t>
      </w:r>
      <w:r>
        <w:rPr>
          <w:rFonts w:hint="eastAsia" w:ascii="仿宋_GB2312" w:hAnsi="仿宋"/>
          <w:color w:val="000000"/>
          <w:kern w:val="0"/>
          <w:szCs w:val="32"/>
        </w:rPr>
        <w:t>指境内生产企业首次仿制国外专利药品生产的药品，以首家取得国家药品监督管理部门批准文号及新药证书为认定依据。</w:t>
      </w:r>
    </w:p>
    <w:p>
      <w:pPr>
        <w:widowControl/>
        <w:jc w:val="left"/>
        <w:rPr>
          <w:rFonts w:ascii="宋体" w:eastAsia="宋体" w:cs="宋体"/>
          <w:kern w:val="0"/>
        </w:rPr>
      </w:pPr>
      <w:r>
        <w:rPr>
          <w:rFonts w:ascii="宋体" w:hAnsi="宋体" w:eastAsia="黑体" w:cs="黑体"/>
          <w:kern w:val="0"/>
        </w:rPr>
        <w:br w:type="page"/>
      </w:r>
      <w:r>
        <w:rPr>
          <w:rFonts w:hint="eastAsia" w:ascii="宋体" w:hAnsi="宋体" w:eastAsia="黑体" w:cs="黑体"/>
          <w:kern w:val="0"/>
        </w:rPr>
        <w:t>附件</w:t>
      </w:r>
      <w:r>
        <w:rPr>
          <w:rFonts w:ascii="宋体" w:hAnsi="宋体" w:eastAsia="黑体" w:cs="黑体"/>
          <w:kern w:val="0"/>
        </w:rPr>
        <w:t>2:</w:t>
      </w:r>
    </w:p>
    <w:p>
      <w:pPr>
        <w:spacing w:line="360" w:lineRule="auto"/>
        <w:jc w:val="center"/>
        <w:rPr>
          <w:rFonts w:ascii="宋体" w:hAnsi="宋体" w:eastAsia="宋体" w:cs="华文中宋"/>
          <w:b/>
          <w:bCs/>
          <w:kern w:val="0"/>
          <w:sz w:val="44"/>
          <w:szCs w:val="44"/>
        </w:rPr>
      </w:pPr>
      <w:r>
        <w:rPr>
          <w:rFonts w:hint="eastAsia" w:ascii="宋体" w:hAnsi="宋体" w:eastAsia="宋体" w:cs="华文中宋"/>
          <w:b/>
          <w:bCs/>
          <w:kern w:val="0"/>
          <w:sz w:val="44"/>
          <w:szCs w:val="44"/>
        </w:rPr>
        <w:t>药品剂型划分</w:t>
      </w:r>
    </w:p>
    <w:p>
      <w:pPr>
        <w:ind w:firstLine="31680" w:firstLineChars="200"/>
        <w:rPr>
          <w:rFonts w:ascii="宋体" w:eastAsia="宋体" w:cs="宋体"/>
          <w:kern w:val="0"/>
          <w:szCs w:val="32"/>
        </w:rPr>
      </w:pPr>
      <w:r>
        <w:rPr>
          <w:rFonts w:hint="eastAsia" w:ascii="宋体" w:hAnsi="宋体" w:cs="宋体"/>
          <w:kern w:val="0"/>
          <w:szCs w:val="32"/>
        </w:rPr>
        <w:t>目录备注：《</w:t>
      </w:r>
      <w:r>
        <w:rPr>
          <w:rFonts w:ascii="宋体" w:hAnsi="宋体" w:cs="宋体"/>
          <w:kern w:val="0"/>
          <w:szCs w:val="32"/>
        </w:rPr>
        <w:t>2012</w:t>
      </w:r>
      <w:r>
        <w:rPr>
          <w:rFonts w:hint="eastAsia" w:ascii="宋体" w:hAnsi="宋体" w:cs="宋体"/>
          <w:kern w:val="0"/>
          <w:szCs w:val="32"/>
        </w:rPr>
        <w:t>版</w:t>
      </w:r>
      <w:r>
        <w:rPr>
          <w:rFonts w:hint="eastAsia" w:ascii="宋体" w:hAnsi="宋体"/>
        </w:rPr>
        <w:t>国家基本药物目录</w:t>
      </w:r>
      <w:r>
        <w:rPr>
          <w:rFonts w:hint="eastAsia" w:ascii="宋体" w:hAnsi="宋体" w:cs="宋体"/>
          <w:kern w:val="0"/>
          <w:szCs w:val="32"/>
        </w:rPr>
        <w:t>》、《</w:t>
      </w:r>
      <w:r>
        <w:rPr>
          <w:rFonts w:ascii="宋体" w:hAnsi="宋体" w:cs="宋体"/>
          <w:kern w:val="0"/>
          <w:szCs w:val="32"/>
        </w:rPr>
        <w:t>2009</w:t>
      </w:r>
      <w:r>
        <w:rPr>
          <w:rFonts w:hint="eastAsia" w:ascii="宋体" w:hAnsi="宋体" w:cs="宋体"/>
          <w:kern w:val="0"/>
          <w:szCs w:val="32"/>
        </w:rPr>
        <w:t>版山东省增补基本药物采购目录》片剂包括素片、糖衣片、薄膜衣片；《山东省试点医院常用药品目录一》片剂包括素片、糖衣片、薄膜衣片、分散片；其它剂型分类按《</w:t>
      </w:r>
      <w:r>
        <w:rPr>
          <w:rFonts w:ascii="宋体" w:hAnsi="宋体" w:cs="宋体"/>
          <w:kern w:val="0"/>
          <w:szCs w:val="32"/>
        </w:rPr>
        <w:t>2015</w:t>
      </w:r>
      <w:r>
        <w:rPr>
          <w:rFonts w:hint="eastAsia" w:ascii="宋体" w:hAnsi="宋体" w:cs="宋体"/>
          <w:kern w:val="0"/>
          <w:szCs w:val="32"/>
        </w:rPr>
        <w:t>年山东省药品集中采购文件》中药品剂型划分来归类评审。</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w:t>
      </w:r>
      <w:r>
        <w:rPr>
          <w:rFonts w:hint="eastAsia" w:ascii="宋体" w:hAnsi="宋体" w:cs="宋体"/>
          <w:kern w:val="0"/>
          <w:szCs w:val="32"/>
        </w:rPr>
        <w:t>、片剂</w:t>
      </w:r>
      <w:r>
        <w:rPr>
          <w:rFonts w:ascii="宋体" w:hAnsi="宋体" w:cs="宋体"/>
          <w:kern w:val="0"/>
          <w:szCs w:val="32"/>
        </w:rPr>
        <w:t>1</w:t>
      </w:r>
      <w:r>
        <w:rPr>
          <w:rFonts w:hint="eastAsia" w:ascii="宋体" w:hAnsi="宋体" w:cs="宋体"/>
          <w:kern w:val="0"/>
          <w:szCs w:val="32"/>
        </w:rPr>
        <w:t>：素片、糖衣片、薄膜衣片、异形片、双层片、浸膏片、（结）肠溶片、（结）肠溶薄膜衣片。</w:t>
      </w:r>
    </w:p>
    <w:p>
      <w:pPr>
        <w:autoSpaceDE w:val="0"/>
        <w:autoSpaceDN w:val="0"/>
        <w:ind w:firstLine="31680" w:firstLineChars="200"/>
        <w:jc w:val="left"/>
        <w:rPr>
          <w:rFonts w:ascii="宋体" w:eastAsia="宋体" w:cs="宋体"/>
          <w:kern w:val="0"/>
          <w:szCs w:val="32"/>
        </w:rPr>
      </w:pPr>
      <w:r>
        <w:rPr>
          <w:rFonts w:ascii="宋体" w:hAnsi="宋体" w:cs="宋体"/>
          <w:kern w:val="0"/>
          <w:szCs w:val="32"/>
        </w:rPr>
        <w:t>2</w:t>
      </w:r>
      <w:r>
        <w:rPr>
          <w:rFonts w:hint="eastAsia" w:ascii="宋体" w:hAnsi="宋体" w:cs="宋体"/>
          <w:kern w:val="0"/>
          <w:szCs w:val="32"/>
        </w:rPr>
        <w:t>、片剂</w:t>
      </w:r>
      <w:r>
        <w:rPr>
          <w:rFonts w:ascii="宋体" w:hAnsi="宋体" w:cs="宋体"/>
          <w:kern w:val="0"/>
          <w:szCs w:val="32"/>
        </w:rPr>
        <w:t>2</w:t>
      </w:r>
      <w:r>
        <w:rPr>
          <w:rFonts w:hint="eastAsia" w:ascii="宋体" w:hAnsi="宋体" w:cs="宋体"/>
          <w:kern w:val="0"/>
          <w:szCs w:val="32"/>
        </w:rPr>
        <w:t>：分散片、含片、咀嚼片、口服泡腾片、舌下片、口腔崩解片。</w:t>
      </w:r>
    </w:p>
    <w:p>
      <w:pPr>
        <w:autoSpaceDE w:val="0"/>
        <w:autoSpaceDN w:val="0"/>
        <w:ind w:firstLine="31680" w:firstLineChars="200"/>
        <w:jc w:val="left"/>
        <w:rPr>
          <w:rFonts w:ascii="宋体" w:eastAsia="宋体" w:cs="宋体"/>
          <w:kern w:val="0"/>
          <w:szCs w:val="32"/>
        </w:rPr>
      </w:pPr>
      <w:r>
        <w:rPr>
          <w:rFonts w:ascii="宋体" w:hAnsi="宋体" w:cs="宋体"/>
          <w:kern w:val="0"/>
          <w:szCs w:val="32"/>
        </w:rPr>
        <w:t>3</w:t>
      </w:r>
      <w:r>
        <w:rPr>
          <w:rFonts w:hint="eastAsia" w:ascii="宋体" w:hAnsi="宋体" w:cs="宋体"/>
          <w:kern w:val="0"/>
          <w:szCs w:val="32"/>
        </w:rPr>
        <w:t>、片剂</w:t>
      </w:r>
      <w:r>
        <w:rPr>
          <w:rFonts w:ascii="宋体" w:hAnsi="宋体" w:cs="宋体"/>
          <w:kern w:val="0"/>
          <w:szCs w:val="32"/>
        </w:rPr>
        <w:t>3</w:t>
      </w:r>
      <w:r>
        <w:rPr>
          <w:rFonts w:hint="eastAsia" w:ascii="宋体" w:hAnsi="宋体" w:cs="宋体"/>
          <w:kern w:val="0"/>
          <w:szCs w:val="32"/>
        </w:rPr>
        <w:t>：口颊片、口腔粘贴片、口腔贴片、（润）喉片。</w:t>
      </w:r>
    </w:p>
    <w:p>
      <w:pPr>
        <w:ind w:firstLine="31680" w:firstLineChars="200"/>
        <w:jc w:val="left"/>
        <w:rPr>
          <w:rFonts w:ascii="宋体" w:eastAsia="宋体" w:cs="宋体"/>
          <w:kern w:val="0"/>
          <w:szCs w:val="32"/>
        </w:rPr>
      </w:pPr>
      <w:r>
        <w:rPr>
          <w:rFonts w:ascii="宋体" w:hAnsi="宋体" w:cs="宋体"/>
          <w:kern w:val="0"/>
          <w:szCs w:val="32"/>
        </w:rPr>
        <w:t>4</w:t>
      </w:r>
      <w:r>
        <w:rPr>
          <w:rFonts w:hint="eastAsia" w:ascii="宋体" w:hAnsi="宋体" w:cs="宋体"/>
          <w:kern w:val="0"/>
          <w:szCs w:val="32"/>
        </w:rPr>
        <w:t>、片剂</w:t>
      </w:r>
      <w:r>
        <w:rPr>
          <w:rFonts w:ascii="宋体" w:hAnsi="宋体" w:cs="宋体"/>
          <w:kern w:val="0"/>
          <w:szCs w:val="32"/>
        </w:rPr>
        <w:t>4</w:t>
      </w:r>
      <w:r>
        <w:rPr>
          <w:rFonts w:hint="eastAsia" w:ascii="宋体" w:hAnsi="宋体" w:cs="宋体"/>
          <w:kern w:val="0"/>
          <w:szCs w:val="32"/>
        </w:rPr>
        <w:t>：缓（控）释片、肠溶缓（控）释片。</w:t>
      </w:r>
    </w:p>
    <w:p>
      <w:pPr>
        <w:ind w:firstLine="31680" w:firstLineChars="200"/>
        <w:jc w:val="left"/>
        <w:rPr>
          <w:rFonts w:ascii="宋体" w:eastAsia="宋体" w:cs="宋体"/>
          <w:kern w:val="0"/>
          <w:szCs w:val="32"/>
        </w:rPr>
      </w:pPr>
      <w:r>
        <w:rPr>
          <w:rFonts w:ascii="宋体" w:hAnsi="宋体" w:cs="宋体"/>
          <w:kern w:val="0"/>
          <w:szCs w:val="32"/>
        </w:rPr>
        <w:t>6</w:t>
      </w:r>
      <w:r>
        <w:rPr>
          <w:rFonts w:hint="eastAsia" w:ascii="宋体" w:hAnsi="宋体" w:cs="宋体"/>
          <w:kern w:val="0"/>
          <w:szCs w:val="32"/>
        </w:rPr>
        <w:t>、胶囊剂</w:t>
      </w:r>
      <w:r>
        <w:rPr>
          <w:rFonts w:ascii="宋体" w:hAnsi="宋体" w:cs="宋体"/>
          <w:kern w:val="0"/>
          <w:szCs w:val="32"/>
        </w:rPr>
        <w:t>1</w:t>
      </w:r>
      <w:r>
        <w:rPr>
          <w:rFonts w:hint="eastAsia" w:ascii="宋体" w:hAnsi="宋体" w:cs="宋体"/>
          <w:kern w:val="0"/>
          <w:szCs w:val="32"/>
        </w:rPr>
        <w:t>：硬胶囊、肠溶胶囊。</w:t>
      </w:r>
    </w:p>
    <w:p>
      <w:pPr>
        <w:autoSpaceDE w:val="0"/>
        <w:autoSpaceDN w:val="0"/>
        <w:ind w:firstLine="31680" w:firstLineChars="200"/>
        <w:jc w:val="left"/>
        <w:rPr>
          <w:rFonts w:ascii="宋体" w:eastAsia="宋体" w:cs="宋体"/>
          <w:kern w:val="0"/>
          <w:szCs w:val="32"/>
        </w:rPr>
      </w:pPr>
      <w:r>
        <w:rPr>
          <w:rFonts w:ascii="宋体" w:hAnsi="宋体" w:cs="宋体"/>
          <w:kern w:val="0"/>
          <w:szCs w:val="32"/>
        </w:rPr>
        <w:t>7</w:t>
      </w:r>
      <w:r>
        <w:rPr>
          <w:rFonts w:hint="eastAsia" w:ascii="宋体" w:hAnsi="宋体" w:cs="宋体"/>
          <w:kern w:val="0"/>
          <w:szCs w:val="32"/>
        </w:rPr>
        <w:t>、胶囊剂</w:t>
      </w:r>
      <w:r>
        <w:rPr>
          <w:rFonts w:ascii="宋体" w:hAnsi="宋体" w:cs="宋体"/>
          <w:kern w:val="0"/>
          <w:szCs w:val="32"/>
        </w:rPr>
        <w:t>2</w:t>
      </w:r>
      <w:r>
        <w:rPr>
          <w:rFonts w:hint="eastAsia" w:ascii="宋体" w:hAnsi="宋体" w:cs="宋体"/>
          <w:kern w:val="0"/>
          <w:szCs w:val="32"/>
        </w:rPr>
        <w:t>：软胶囊</w:t>
      </w:r>
      <w:r>
        <w:rPr>
          <w:rFonts w:ascii="宋体" w:hAnsi="宋体" w:cs="宋体"/>
          <w:kern w:val="0"/>
          <w:szCs w:val="32"/>
        </w:rPr>
        <w:t>(</w:t>
      </w:r>
      <w:r>
        <w:rPr>
          <w:rFonts w:hint="eastAsia" w:ascii="宋体" w:hAnsi="宋体" w:cs="宋体"/>
          <w:kern w:val="0"/>
          <w:szCs w:val="32"/>
        </w:rPr>
        <w:t>胶丸</w:t>
      </w:r>
      <w:r>
        <w:rPr>
          <w:rFonts w:ascii="宋体" w:hAnsi="宋体" w:cs="宋体"/>
          <w:kern w:val="0"/>
          <w:szCs w:val="32"/>
        </w:rPr>
        <w:t>)</w:t>
      </w:r>
      <w:r>
        <w:rPr>
          <w:rFonts w:hint="eastAsia" w:ascii="宋体" w:hAnsi="宋体" w:cs="宋体"/>
          <w:kern w:val="0"/>
          <w:szCs w:val="32"/>
        </w:rPr>
        <w:t>、肠溶软胶囊</w:t>
      </w:r>
      <w:r>
        <w:rPr>
          <w:rFonts w:ascii="宋体" w:hAnsi="宋体" w:cs="宋体"/>
          <w:kern w:val="0"/>
          <w:szCs w:val="32"/>
        </w:rPr>
        <w:t xml:space="preserve"> (</w:t>
      </w:r>
      <w:r>
        <w:rPr>
          <w:rFonts w:hint="eastAsia" w:ascii="宋体" w:hAnsi="宋体" w:cs="宋体"/>
          <w:kern w:val="0"/>
          <w:szCs w:val="32"/>
        </w:rPr>
        <w:t>肠溶胶丸</w:t>
      </w:r>
      <w:r>
        <w:rPr>
          <w:rFonts w:ascii="宋体" w:hAnsi="宋体" w:cs="宋体"/>
          <w:kern w:val="0"/>
          <w:szCs w:val="32"/>
        </w:rPr>
        <w:t>)</w:t>
      </w:r>
      <w:r>
        <w:rPr>
          <w:rFonts w:hint="eastAsia" w:ascii="宋体" w:hAnsi="宋体" w:cs="宋体"/>
          <w:kern w:val="0"/>
          <w:szCs w:val="32"/>
        </w:rPr>
        <w:t>、微丸胶囊、肠溶微丸胶囊。</w:t>
      </w:r>
    </w:p>
    <w:p>
      <w:pPr>
        <w:autoSpaceDE w:val="0"/>
        <w:autoSpaceDN w:val="0"/>
        <w:ind w:firstLine="31680" w:firstLineChars="200"/>
        <w:jc w:val="left"/>
        <w:rPr>
          <w:rFonts w:ascii="宋体" w:eastAsia="宋体" w:cs="宋体"/>
          <w:kern w:val="0"/>
          <w:szCs w:val="32"/>
        </w:rPr>
      </w:pPr>
      <w:r>
        <w:rPr>
          <w:rFonts w:ascii="宋体" w:hAnsi="宋体" w:cs="宋体"/>
          <w:kern w:val="0"/>
          <w:szCs w:val="32"/>
        </w:rPr>
        <w:t>8</w:t>
      </w:r>
      <w:r>
        <w:rPr>
          <w:rFonts w:hint="eastAsia" w:ascii="宋体" w:hAnsi="宋体" w:cs="宋体"/>
          <w:kern w:val="0"/>
          <w:szCs w:val="32"/>
        </w:rPr>
        <w:t>、胶囊剂</w:t>
      </w:r>
      <w:r>
        <w:rPr>
          <w:rFonts w:ascii="宋体" w:hAnsi="宋体" w:cs="宋体"/>
          <w:kern w:val="0"/>
          <w:szCs w:val="32"/>
        </w:rPr>
        <w:t>3</w:t>
      </w:r>
      <w:r>
        <w:rPr>
          <w:rFonts w:hint="eastAsia" w:ascii="宋体" w:hAnsi="宋体" w:cs="宋体"/>
          <w:kern w:val="0"/>
          <w:szCs w:val="32"/>
        </w:rPr>
        <w:t>：缓（控）释胶囊、肠溶缓（控）释胶囊、双释放胶囊。</w:t>
      </w:r>
    </w:p>
    <w:p>
      <w:pPr>
        <w:autoSpaceDE w:val="0"/>
        <w:autoSpaceDN w:val="0"/>
        <w:ind w:firstLine="31680" w:firstLineChars="200"/>
        <w:jc w:val="left"/>
        <w:rPr>
          <w:rFonts w:ascii="宋体" w:eastAsia="宋体" w:cs="宋体"/>
          <w:kern w:val="0"/>
          <w:szCs w:val="32"/>
        </w:rPr>
      </w:pPr>
      <w:r>
        <w:rPr>
          <w:rFonts w:ascii="宋体" w:hAnsi="宋体" w:cs="宋体"/>
          <w:kern w:val="0"/>
          <w:szCs w:val="32"/>
        </w:rPr>
        <w:t>9</w:t>
      </w:r>
      <w:r>
        <w:rPr>
          <w:rFonts w:hint="eastAsia" w:ascii="宋体" w:hAnsi="宋体" w:cs="宋体"/>
          <w:kern w:val="0"/>
          <w:szCs w:val="32"/>
        </w:rPr>
        <w:t>、颗粒剂</w:t>
      </w:r>
      <w:r>
        <w:rPr>
          <w:rFonts w:ascii="宋体" w:hAnsi="宋体" w:cs="宋体"/>
          <w:kern w:val="0"/>
          <w:szCs w:val="32"/>
        </w:rPr>
        <w:t>1</w:t>
      </w:r>
      <w:r>
        <w:rPr>
          <w:rFonts w:hint="eastAsia" w:ascii="宋体" w:hAnsi="宋体" w:cs="宋体"/>
          <w:kern w:val="0"/>
          <w:szCs w:val="32"/>
        </w:rPr>
        <w:t>：颗粒剂、干糖浆颗粒剂、冲剂、茶剂、茶饼剂、混悬颗粒剂、泡腾颗粒剂、细粒剂、袋泡剂、干混悬剂、肠溶颗粒剂。</w:t>
      </w:r>
    </w:p>
    <w:p>
      <w:pPr>
        <w:autoSpaceDE w:val="0"/>
        <w:autoSpaceDN w:val="0"/>
        <w:ind w:firstLine="31680" w:firstLineChars="200"/>
        <w:jc w:val="left"/>
        <w:rPr>
          <w:rFonts w:ascii="宋体" w:eastAsia="宋体" w:cs="宋体"/>
          <w:kern w:val="0"/>
          <w:szCs w:val="32"/>
        </w:rPr>
      </w:pPr>
      <w:r>
        <w:rPr>
          <w:rFonts w:ascii="宋体" w:hAnsi="宋体" w:cs="宋体"/>
          <w:kern w:val="0"/>
          <w:szCs w:val="32"/>
        </w:rPr>
        <w:t>9</w:t>
      </w:r>
      <w:r>
        <w:rPr>
          <w:rFonts w:hint="eastAsia" w:ascii="宋体" w:hAnsi="宋体" w:cs="宋体"/>
          <w:kern w:val="0"/>
          <w:szCs w:val="32"/>
        </w:rPr>
        <w:t>、颗粒剂</w:t>
      </w:r>
      <w:r>
        <w:rPr>
          <w:rFonts w:ascii="宋体" w:hAnsi="宋体" w:cs="宋体"/>
          <w:kern w:val="0"/>
          <w:szCs w:val="32"/>
        </w:rPr>
        <w:t>2</w:t>
      </w:r>
      <w:r>
        <w:rPr>
          <w:rFonts w:hint="eastAsia" w:ascii="宋体" w:hAnsi="宋体" w:cs="宋体"/>
          <w:kern w:val="0"/>
          <w:szCs w:val="32"/>
        </w:rPr>
        <w:t>：缓释颗粒剂、缓释干混悬剂。</w:t>
      </w:r>
    </w:p>
    <w:p>
      <w:pPr>
        <w:autoSpaceDE w:val="0"/>
        <w:autoSpaceDN w:val="0"/>
        <w:ind w:firstLine="31680" w:firstLineChars="195"/>
        <w:jc w:val="left"/>
        <w:rPr>
          <w:rFonts w:ascii="宋体" w:eastAsia="宋体" w:cs="宋体"/>
          <w:kern w:val="0"/>
          <w:szCs w:val="32"/>
        </w:rPr>
      </w:pPr>
      <w:r>
        <w:rPr>
          <w:rFonts w:ascii="宋体" w:hAnsi="宋体" w:cs="宋体"/>
          <w:kern w:val="0"/>
          <w:szCs w:val="32"/>
        </w:rPr>
        <w:t>10</w:t>
      </w:r>
      <w:r>
        <w:rPr>
          <w:rFonts w:hint="eastAsia" w:ascii="宋体" w:hAnsi="宋体" w:cs="宋体"/>
          <w:kern w:val="0"/>
          <w:szCs w:val="32"/>
        </w:rPr>
        <w:t>、口服液体剂</w:t>
      </w:r>
      <w:r>
        <w:rPr>
          <w:rFonts w:ascii="宋体" w:hAnsi="宋体" w:cs="宋体"/>
          <w:kern w:val="0"/>
          <w:szCs w:val="32"/>
        </w:rPr>
        <w:t>1</w:t>
      </w:r>
      <w:r>
        <w:rPr>
          <w:rFonts w:hint="eastAsia" w:ascii="宋体" w:hAnsi="宋体" w:cs="宋体"/>
          <w:kern w:val="0"/>
          <w:szCs w:val="32"/>
        </w:rPr>
        <w:t>：口服溶液剂、合剂、糖浆剂、内服酊剂、内服酒剂、露剂、酏剂、滴剂、</w:t>
      </w:r>
      <w:r>
        <w:rPr>
          <w:rFonts w:ascii="宋体" w:hAnsi="宋体" w:cs="宋体"/>
          <w:kern w:val="0"/>
          <w:szCs w:val="32"/>
        </w:rPr>
        <w:t>(</w:t>
      </w:r>
      <w:r>
        <w:rPr>
          <w:rFonts w:hint="eastAsia" w:ascii="宋体" w:hAnsi="宋体" w:cs="宋体"/>
          <w:kern w:val="0"/>
          <w:szCs w:val="32"/>
        </w:rPr>
        <w:t>口服</w:t>
      </w:r>
      <w:r>
        <w:rPr>
          <w:rFonts w:ascii="宋体" w:hAnsi="宋体" w:cs="宋体"/>
          <w:kern w:val="0"/>
          <w:szCs w:val="32"/>
        </w:rPr>
        <w:t>)</w:t>
      </w:r>
      <w:r>
        <w:rPr>
          <w:rFonts w:hint="eastAsia" w:ascii="宋体" w:hAnsi="宋体" w:cs="宋体"/>
          <w:kern w:val="0"/>
          <w:szCs w:val="32"/>
        </w:rPr>
        <w:t>胶浆剂、口服混悬液、口服乳剂</w:t>
      </w:r>
      <w:r>
        <w:rPr>
          <w:rFonts w:ascii="宋体" w:hAnsi="宋体" w:cs="宋体"/>
          <w:kern w:val="0"/>
          <w:szCs w:val="32"/>
        </w:rPr>
        <w:t>(</w:t>
      </w:r>
      <w:r>
        <w:rPr>
          <w:rFonts w:hint="eastAsia" w:ascii="宋体" w:hAnsi="宋体" w:cs="宋体"/>
          <w:kern w:val="0"/>
          <w:szCs w:val="32"/>
        </w:rPr>
        <w:t>液</w:t>
      </w:r>
      <w:r>
        <w:rPr>
          <w:rFonts w:ascii="宋体" w:hAnsi="宋体" w:cs="宋体"/>
          <w:kern w:val="0"/>
          <w:szCs w:val="32"/>
        </w:rPr>
        <w:t>)</w:t>
      </w:r>
      <w:r>
        <w:rPr>
          <w:rFonts w:hint="eastAsia" w:ascii="宋体" w:hAnsi="宋体" w:cs="宋体"/>
          <w:kern w:val="0"/>
          <w:szCs w:val="32"/>
        </w:rPr>
        <w:t>、口服凝胶剂、胶体溶液、混悬滴剂、口服浸膏、流浸膏、煎膏剂、缓释混悬液等。</w:t>
      </w:r>
    </w:p>
    <w:p>
      <w:pPr>
        <w:autoSpaceDE w:val="0"/>
        <w:autoSpaceDN w:val="0"/>
        <w:ind w:firstLine="31680" w:firstLineChars="195"/>
        <w:jc w:val="left"/>
        <w:rPr>
          <w:rFonts w:ascii="宋体" w:eastAsia="宋体" w:cs="宋体"/>
          <w:kern w:val="0"/>
          <w:szCs w:val="32"/>
        </w:rPr>
      </w:pPr>
      <w:r>
        <w:rPr>
          <w:rFonts w:ascii="宋体" w:hAnsi="宋体" w:cs="宋体"/>
          <w:kern w:val="0"/>
          <w:szCs w:val="32"/>
        </w:rPr>
        <w:t>11</w:t>
      </w:r>
      <w:r>
        <w:rPr>
          <w:rFonts w:hint="eastAsia" w:ascii="宋体" w:hAnsi="宋体" w:cs="宋体"/>
          <w:kern w:val="0"/>
          <w:szCs w:val="32"/>
        </w:rPr>
        <w:t>、口服液体剂</w:t>
      </w:r>
      <w:r>
        <w:rPr>
          <w:rFonts w:ascii="宋体" w:hAnsi="宋体" w:cs="宋体"/>
          <w:kern w:val="0"/>
          <w:szCs w:val="32"/>
        </w:rPr>
        <w:t>2</w:t>
      </w:r>
      <w:r>
        <w:rPr>
          <w:rFonts w:hint="eastAsia" w:ascii="宋体" w:hAnsi="宋体" w:cs="宋体"/>
          <w:kern w:val="0"/>
          <w:szCs w:val="32"/>
        </w:rPr>
        <w:t>：口服脂微乳、脂质体口服液、口服脂微球。</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12</w:t>
      </w:r>
      <w:r>
        <w:rPr>
          <w:rFonts w:hint="eastAsia" w:ascii="宋体" w:hAnsi="宋体" w:cs="宋体"/>
          <w:kern w:val="0"/>
          <w:szCs w:val="32"/>
        </w:rPr>
        <w:t>、散剂</w:t>
      </w:r>
      <w:r>
        <w:rPr>
          <w:rFonts w:ascii="宋体" w:hAnsi="宋体" w:cs="宋体"/>
          <w:kern w:val="0"/>
          <w:szCs w:val="32"/>
        </w:rPr>
        <w:t>1</w:t>
      </w:r>
      <w:r>
        <w:rPr>
          <w:rFonts w:hint="eastAsia" w:ascii="宋体" w:hAnsi="宋体" w:cs="宋体"/>
          <w:kern w:val="0"/>
          <w:szCs w:val="32"/>
        </w:rPr>
        <w:t>：口服散剂、粉剂、冻干粉剂。</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13</w:t>
      </w:r>
      <w:r>
        <w:rPr>
          <w:rFonts w:hint="eastAsia" w:ascii="宋体" w:hAnsi="宋体" w:cs="宋体"/>
          <w:kern w:val="0"/>
          <w:szCs w:val="32"/>
        </w:rPr>
        <w:t>、散剂</w:t>
      </w:r>
      <w:r>
        <w:rPr>
          <w:rFonts w:ascii="宋体" w:hAnsi="宋体" w:cs="宋体"/>
          <w:kern w:val="0"/>
          <w:szCs w:val="32"/>
        </w:rPr>
        <w:t>2</w:t>
      </w:r>
      <w:r>
        <w:rPr>
          <w:rFonts w:hint="eastAsia" w:ascii="宋体" w:hAnsi="宋体" w:cs="宋体"/>
          <w:kern w:val="0"/>
          <w:szCs w:val="32"/>
        </w:rPr>
        <w:t>：外用散（粉）、撤布粉、撤粉。</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14</w:t>
      </w:r>
      <w:r>
        <w:rPr>
          <w:rFonts w:hint="eastAsia" w:ascii="宋体" w:hAnsi="宋体" w:cs="宋体"/>
          <w:kern w:val="0"/>
          <w:szCs w:val="32"/>
        </w:rPr>
        <w:t>、丸剂</w:t>
      </w:r>
      <w:r>
        <w:rPr>
          <w:rFonts w:ascii="宋体" w:hAnsi="宋体" w:cs="宋体"/>
          <w:kern w:val="0"/>
          <w:szCs w:val="32"/>
        </w:rPr>
        <w:t>1</w:t>
      </w:r>
      <w:r>
        <w:rPr>
          <w:rFonts w:hint="eastAsia" w:ascii="宋体" w:hAnsi="宋体" w:cs="宋体"/>
          <w:kern w:val="0"/>
          <w:szCs w:val="32"/>
        </w:rPr>
        <w:t>：包括水丸、蜜丸、水蜜丸、大蜜丸、小蜜丸、糊丸、糖丸、蜡丸。</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15</w:t>
      </w:r>
      <w:r>
        <w:rPr>
          <w:rFonts w:hint="eastAsia" w:ascii="宋体" w:hAnsi="宋体" w:cs="宋体"/>
          <w:kern w:val="0"/>
          <w:szCs w:val="32"/>
        </w:rPr>
        <w:t>、丸剂</w:t>
      </w:r>
      <w:r>
        <w:rPr>
          <w:rFonts w:ascii="宋体" w:hAnsi="宋体" w:cs="宋体"/>
          <w:kern w:val="0"/>
          <w:szCs w:val="32"/>
        </w:rPr>
        <w:t>2</w:t>
      </w:r>
      <w:r>
        <w:rPr>
          <w:rFonts w:hint="eastAsia" w:ascii="宋体" w:hAnsi="宋体" w:cs="宋体"/>
          <w:kern w:val="0"/>
          <w:szCs w:val="32"/>
        </w:rPr>
        <w:t>：浓缩丸、微丸。</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16</w:t>
      </w:r>
      <w:r>
        <w:rPr>
          <w:rFonts w:hint="eastAsia" w:ascii="宋体" w:hAnsi="宋体" w:cs="宋体"/>
          <w:kern w:val="0"/>
          <w:szCs w:val="32"/>
        </w:rPr>
        <w:t>、丸剂</w:t>
      </w:r>
      <w:r>
        <w:rPr>
          <w:rFonts w:ascii="宋体" w:hAnsi="宋体" w:cs="宋体"/>
          <w:kern w:val="0"/>
          <w:szCs w:val="32"/>
        </w:rPr>
        <w:t>3</w:t>
      </w:r>
      <w:r>
        <w:rPr>
          <w:rFonts w:hint="eastAsia" w:ascii="宋体" w:hAnsi="宋体" w:cs="宋体"/>
          <w:kern w:val="0"/>
          <w:szCs w:val="32"/>
        </w:rPr>
        <w:t>：滴丸。</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17</w:t>
      </w:r>
      <w:r>
        <w:rPr>
          <w:rFonts w:hint="eastAsia" w:ascii="宋体" w:hAnsi="宋体" w:cs="宋体"/>
          <w:kern w:val="0"/>
          <w:szCs w:val="32"/>
        </w:rPr>
        <w:t>、注射剂</w:t>
      </w:r>
      <w:r>
        <w:rPr>
          <w:rFonts w:ascii="宋体" w:hAnsi="宋体" w:cs="宋体"/>
          <w:kern w:val="0"/>
          <w:szCs w:val="32"/>
        </w:rPr>
        <w:t>1</w:t>
      </w:r>
      <w:r>
        <w:rPr>
          <w:rFonts w:hint="eastAsia" w:ascii="宋体" w:hAnsi="宋体" w:cs="宋体"/>
          <w:kern w:val="0"/>
          <w:szCs w:val="32"/>
        </w:rPr>
        <w:t>：注射液。</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18</w:t>
      </w:r>
      <w:r>
        <w:rPr>
          <w:rFonts w:hint="eastAsia" w:ascii="宋体" w:hAnsi="宋体" w:cs="宋体"/>
          <w:kern w:val="0"/>
          <w:szCs w:val="32"/>
        </w:rPr>
        <w:t>、注射剂</w:t>
      </w:r>
      <w:r>
        <w:rPr>
          <w:rFonts w:ascii="宋体" w:hAnsi="宋体" w:cs="宋体"/>
          <w:kern w:val="0"/>
          <w:szCs w:val="32"/>
        </w:rPr>
        <w:t>2</w:t>
      </w:r>
      <w:r>
        <w:rPr>
          <w:rFonts w:hint="eastAsia" w:ascii="宋体" w:hAnsi="宋体" w:cs="宋体"/>
          <w:kern w:val="0"/>
          <w:szCs w:val="32"/>
        </w:rPr>
        <w:t>：粉针剂、冻干粉针剂、溶媒结晶粉针剂。</w:t>
      </w:r>
    </w:p>
    <w:p>
      <w:pPr>
        <w:autoSpaceDE w:val="0"/>
        <w:autoSpaceDN w:val="0"/>
        <w:ind w:firstLine="31680" w:firstLineChars="200"/>
        <w:jc w:val="left"/>
        <w:rPr>
          <w:rFonts w:ascii="宋体" w:eastAsia="宋体" w:cs="宋体"/>
          <w:kern w:val="0"/>
          <w:szCs w:val="32"/>
        </w:rPr>
      </w:pPr>
      <w:r>
        <w:rPr>
          <w:rFonts w:ascii="宋体" w:hAnsi="宋体" w:cs="宋体"/>
          <w:kern w:val="0"/>
          <w:szCs w:val="32"/>
        </w:rPr>
        <w:t>19</w:t>
      </w:r>
      <w:r>
        <w:rPr>
          <w:rFonts w:hint="eastAsia" w:ascii="宋体" w:hAnsi="宋体" w:cs="宋体"/>
          <w:kern w:val="0"/>
          <w:szCs w:val="32"/>
        </w:rPr>
        <w:t>、注射剂</w:t>
      </w:r>
      <w:r>
        <w:rPr>
          <w:rFonts w:ascii="宋体" w:hAnsi="宋体" w:cs="宋体"/>
          <w:kern w:val="0"/>
          <w:szCs w:val="32"/>
        </w:rPr>
        <w:t>3</w:t>
      </w:r>
      <w:r>
        <w:rPr>
          <w:rFonts w:hint="eastAsia" w:ascii="宋体" w:hAnsi="宋体" w:cs="宋体"/>
          <w:kern w:val="0"/>
          <w:szCs w:val="32"/>
        </w:rPr>
        <w:t>：注</w:t>
      </w:r>
      <w:r>
        <w:rPr>
          <w:rFonts w:hint="eastAsia" w:ascii="宋体" w:hAnsi="宋体"/>
          <w:szCs w:val="32"/>
        </w:rPr>
        <w:t>射用乳剂、注射用混悬剂。</w:t>
      </w:r>
    </w:p>
    <w:p>
      <w:pPr>
        <w:autoSpaceDE w:val="0"/>
        <w:autoSpaceDN w:val="0"/>
        <w:ind w:firstLine="31680" w:firstLineChars="200"/>
        <w:jc w:val="left"/>
        <w:rPr>
          <w:rFonts w:ascii="宋体" w:eastAsia="宋体" w:cs="宋体"/>
          <w:kern w:val="0"/>
          <w:szCs w:val="32"/>
        </w:rPr>
      </w:pPr>
      <w:r>
        <w:rPr>
          <w:rFonts w:ascii="宋体" w:hAnsi="宋体" w:cs="宋体"/>
          <w:kern w:val="0"/>
          <w:szCs w:val="32"/>
        </w:rPr>
        <w:t>20</w:t>
      </w:r>
      <w:r>
        <w:rPr>
          <w:rFonts w:hint="eastAsia" w:ascii="宋体" w:hAnsi="宋体" w:cs="宋体"/>
          <w:kern w:val="0"/>
          <w:szCs w:val="32"/>
        </w:rPr>
        <w:t>、注射剂</w:t>
      </w:r>
      <w:r>
        <w:rPr>
          <w:rFonts w:ascii="宋体" w:hAnsi="宋体" w:cs="宋体"/>
          <w:kern w:val="0"/>
          <w:szCs w:val="32"/>
        </w:rPr>
        <w:t>4</w:t>
      </w:r>
      <w:r>
        <w:rPr>
          <w:rFonts w:hint="eastAsia" w:ascii="宋体" w:hAnsi="宋体" w:cs="宋体"/>
          <w:kern w:val="0"/>
          <w:szCs w:val="32"/>
        </w:rPr>
        <w:t>：脂质体注射液、脂微乳注射液、脂微球注射液。</w:t>
      </w:r>
    </w:p>
    <w:p>
      <w:pPr>
        <w:autoSpaceDE w:val="0"/>
        <w:autoSpaceDN w:val="0"/>
        <w:ind w:firstLine="31680" w:firstLineChars="200"/>
        <w:jc w:val="left"/>
        <w:rPr>
          <w:rFonts w:ascii="宋体" w:eastAsia="宋体" w:cs="宋体"/>
          <w:kern w:val="0"/>
          <w:szCs w:val="32"/>
        </w:rPr>
      </w:pPr>
      <w:r>
        <w:rPr>
          <w:rFonts w:ascii="宋体" w:hAnsi="宋体" w:cs="宋体"/>
          <w:kern w:val="0"/>
          <w:szCs w:val="32"/>
        </w:rPr>
        <w:t>21</w:t>
      </w:r>
      <w:r>
        <w:rPr>
          <w:rFonts w:hint="eastAsia" w:ascii="宋体" w:hAnsi="宋体" w:cs="宋体"/>
          <w:kern w:val="0"/>
          <w:szCs w:val="32"/>
        </w:rPr>
        <w:t>、注射剂</w:t>
      </w:r>
      <w:r>
        <w:rPr>
          <w:rFonts w:ascii="宋体" w:hAnsi="宋体" w:cs="宋体"/>
          <w:kern w:val="0"/>
          <w:szCs w:val="32"/>
        </w:rPr>
        <w:t>5</w:t>
      </w:r>
      <w:r>
        <w:rPr>
          <w:rFonts w:hint="eastAsia" w:ascii="宋体" w:hAnsi="宋体" w:cs="宋体"/>
          <w:kern w:val="0"/>
          <w:szCs w:val="32"/>
        </w:rPr>
        <w:t>：干乳剂。</w:t>
      </w:r>
    </w:p>
    <w:p>
      <w:pPr>
        <w:autoSpaceDE w:val="0"/>
        <w:autoSpaceDN w:val="0"/>
        <w:ind w:firstLine="31680" w:firstLineChars="200"/>
        <w:jc w:val="left"/>
        <w:rPr>
          <w:rFonts w:ascii="宋体" w:eastAsia="宋体" w:cs="宋体"/>
          <w:kern w:val="0"/>
          <w:szCs w:val="32"/>
        </w:rPr>
      </w:pPr>
      <w:r>
        <w:rPr>
          <w:rFonts w:ascii="宋体" w:hAnsi="宋体" w:cs="宋体"/>
          <w:kern w:val="0"/>
          <w:szCs w:val="32"/>
        </w:rPr>
        <w:t>22</w:t>
      </w:r>
      <w:r>
        <w:rPr>
          <w:rFonts w:hint="eastAsia" w:ascii="宋体" w:hAnsi="宋体" w:cs="宋体"/>
          <w:kern w:val="0"/>
          <w:szCs w:val="32"/>
        </w:rPr>
        <w:t>、注射剂</w:t>
      </w:r>
      <w:r>
        <w:rPr>
          <w:rFonts w:ascii="宋体" w:hAnsi="宋体" w:cs="宋体"/>
          <w:kern w:val="0"/>
          <w:szCs w:val="32"/>
        </w:rPr>
        <w:t>6</w:t>
      </w:r>
      <w:r>
        <w:rPr>
          <w:rFonts w:hint="eastAsia" w:ascii="宋体" w:hAnsi="宋体" w:cs="宋体"/>
          <w:kern w:val="0"/>
          <w:szCs w:val="32"/>
        </w:rPr>
        <w:t>：环糊精包合物。</w:t>
      </w:r>
    </w:p>
    <w:p>
      <w:pPr>
        <w:ind w:firstLine="31680" w:firstLineChars="200"/>
        <w:jc w:val="left"/>
        <w:rPr>
          <w:rFonts w:ascii="宋体" w:eastAsia="宋体" w:cs="宋体"/>
          <w:kern w:val="0"/>
          <w:szCs w:val="32"/>
        </w:rPr>
      </w:pPr>
      <w:r>
        <w:rPr>
          <w:rFonts w:ascii="宋体" w:hAnsi="宋体" w:cs="宋体"/>
          <w:kern w:val="0"/>
          <w:szCs w:val="32"/>
        </w:rPr>
        <w:t>23</w:t>
      </w:r>
      <w:r>
        <w:rPr>
          <w:rFonts w:hint="eastAsia" w:ascii="宋体" w:hAnsi="宋体" w:cs="宋体"/>
          <w:kern w:val="0"/>
          <w:szCs w:val="32"/>
        </w:rPr>
        <w:t>、气雾剂：气雾剂、粉雾剂、喷雾剂、雾化溶液剂、吸入溶液剂、吸入剂。</w:t>
      </w:r>
    </w:p>
    <w:p>
      <w:pPr>
        <w:pStyle w:val="19"/>
        <w:ind w:firstLine="31680" w:firstLineChars="200"/>
        <w:jc w:val="left"/>
        <w:rPr>
          <w:rFonts w:ascii="宋体" w:hAnsi="宋体" w:eastAsia="仿宋_GB2312" w:cs="宋体"/>
          <w:kern w:val="0"/>
          <w:sz w:val="32"/>
          <w:szCs w:val="32"/>
        </w:rPr>
      </w:pPr>
      <w:r>
        <w:rPr>
          <w:rFonts w:ascii="宋体" w:hAnsi="宋体" w:eastAsia="仿宋_GB2312" w:cs="宋体"/>
          <w:kern w:val="0"/>
          <w:sz w:val="32"/>
          <w:szCs w:val="32"/>
        </w:rPr>
        <w:t>24</w:t>
      </w:r>
      <w:r>
        <w:rPr>
          <w:rFonts w:hint="eastAsia" w:ascii="宋体" w:hAnsi="宋体" w:eastAsia="仿宋_GB2312" w:cs="宋体"/>
          <w:kern w:val="0"/>
          <w:sz w:val="32"/>
          <w:szCs w:val="32"/>
        </w:rPr>
        <w:t>、软膏剂：软膏剂、乳膏剂、油膏剂、糊剂、外用凝胶剂、乳胶剂、外用胶浆剂、外用乳剂、外用锭剂。</w:t>
      </w:r>
    </w:p>
    <w:p>
      <w:pPr>
        <w:ind w:firstLine="31680" w:firstLineChars="200"/>
        <w:jc w:val="left"/>
        <w:rPr>
          <w:rFonts w:ascii="宋体" w:eastAsia="宋体" w:cs="宋体"/>
          <w:kern w:val="0"/>
          <w:szCs w:val="32"/>
        </w:rPr>
      </w:pPr>
      <w:r>
        <w:rPr>
          <w:rFonts w:ascii="宋体" w:hAnsi="宋体" w:cs="宋体"/>
          <w:kern w:val="0"/>
          <w:szCs w:val="32"/>
        </w:rPr>
        <w:t>25</w:t>
      </w:r>
      <w:r>
        <w:rPr>
          <w:rFonts w:hint="eastAsia" w:ascii="宋体" w:hAnsi="宋体" w:cs="宋体"/>
          <w:kern w:val="0"/>
          <w:szCs w:val="32"/>
        </w:rPr>
        <w:t>、外用溶液剂</w:t>
      </w:r>
      <w:r>
        <w:rPr>
          <w:rFonts w:ascii="宋体" w:hAnsi="宋体" w:cs="宋体"/>
          <w:kern w:val="0"/>
          <w:szCs w:val="32"/>
        </w:rPr>
        <w:t xml:space="preserve">: </w:t>
      </w:r>
      <w:r>
        <w:rPr>
          <w:rFonts w:hint="eastAsia" w:ascii="宋体" w:hAnsi="宋体" w:cs="宋体"/>
          <w:kern w:val="0"/>
          <w:szCs w:val="32"/>
        </w:rPr>
        <w:t>外用溶液剂、搽剂、涂剂、涂膜剂、涂布剂、洗剂、冲洗剂、外用酒剂、外用酊剂、醑剂、油剂、甘油剂、含漱剂、灌肠剂、泡沫剂、外用喷雾剂、外用气雾剂。</w:t>
      </w:r>
    </w:p>
    <w:p>
      <w:pPr>
        <w:tabs>
          <w:tab w:val="left" w:pos="1701"/>
        </w:tabs>
        <w:autoSpaceDE w:val="0"/>
        <w:autoSpaceDN w:val="0"/>
        <w:ind w:firstLine="31680" w:firstLineChars="195"/>
        <w:jc w:val="left"/>
        <w:rPr>
          <w:rFonts w:ascii="宋体" w:eastAsia="宋体" w:cs="宋体"/>
          <w:kern w:val="0"/>
          <w:szCs w:val="32"/>
        </w:rPr>
      </w:pPr>
      <w:r>
        <w:rPr>
          <w:rFonts w:ascii="宋体" w:hAnsi="宋体" w:cs="宋体"/>
          <w:kern w:val="0"/>
          <w:szCs w:val="32"/>
        </w:rPr>
        <w:t>26</w:t>
      </w:r>
      <w:r>
        <w:rPr>
          <w:rFonts w:hint="eastAsia" w:ascii="宋体" w:hAnsi="宋体" w:cs="宋体"/>
          <w:kern w:val="0"/>
          <w:szCs w:val="32"/>
        </w:rPr>
        <w:t>、</w:t>
      </w:r>
      <w:r>
        <w:rPr>
          <w:rFonts w:ascii="宋体" w:hAnsi="宋体" w:cs="宋体"/>
          <w:kern w:val="0"/>
          <w:szCs w:val="32"/>
        </w:rPr>
        <w:t xml:space="preserve"> </w:t>
      </w:r>
      <w:r>
        <w:rPr>
          <w:rFonts w:hint="eastAsia" w:ascii="宋体" w:hAnsi="宋体" w:cs="宋体"/>
          <w:kern w:val="0"/>
          <w:szCs w:val="32"/>
        </w:rPr>
        <w:t>帖剂：贴膏剂、贴剂、橡胶膏剂、巴布膏剂、硬膏剂、膏药剂、贴片、敷剂、膜剂、透皮贴剂。</w:t>
      </w:r>
    </w:p>
    <w:p>
      <w:pPr>
        <w:ind w:firstLine="31680" w:firstLineChars="200"/>
        <w:jc w:val="left"/>
        <w:rPr>
          <w:rFonts w:ascii="宋体" w:eastAsia="宋体" w:cs="宋体"/>
          <w:kern w:val="0"/>
          <w:szCs w:val="32"/>
        </w:rPr>
      </w:pPr>
      <w:r>
        <w:rPr>
          <w:rFonts w:ascii="宋体" w:hAnsi="宋体" w:cs="宋体"/>
          <w:kern w:val="0"/>
          <w:szCs w:val="32"/>
        </w:rPr>
        <w:t>27</w:t>
      </w:r>
      <w:r>
        <w:rPr>
          <w:rFonts w:hint="eastAsia" w:ascii="宋体" w:hAnsi="宋体" w:cs="宋体"/>
          <w:kern w:val="0"/>
          <w:szCs w:val="32"/>
        </w:rPr>
        <w:t>、滴眼剂</w:t>
      </w:r>
    </w:p>
    <w:p>
      <w:pPr>
        <w:ind w:firstLine="31680" w:firstLineChars="200"/>
        <w:jc w:val="left"/>
        <w:rPr>
          <w:rFonts w:ascii="宋体" w:eastAsia="宋体" w:cs="宋体"/>
          <w:kern w:val="0"/>
          <w:szCs w:val="32"/>
        </w:rPr>
      </w:pPr>
      <w:r>
        <w:rPr>
          <w:rFonts w:ascii="宋体" w:hAnsi="宋体" w:cs="宋体"/>
          <w:kern w:val="0"/>
          <w:szCs w:val="32"/>
        </w:rPr>
        <w:t>28</w:t>
      </w:r>
      <w:r>
        <w:rPr>
          <w:rFonts w:hint="eastAsia" w:ascii="宋体" w:hAnsi="宋体" w:cs="宋体"/>
          <w:kern w:val="0"/>
          <w:szCs w:val="32"/>
        </w:rPr>
        <w:t>、滴鼻剂</w:t>
      </w:r>
    </w:p>
    <w:p>
      <w:pPr>
        <w:ind w:firstLine="31680" w:firstLineChars="200"/>
        <w:jc w:val="left"/>
        <w:rPr>
          <w:rFonts w:ascii="宋体" w:eastAsia="宋体" w:cs="宋体"/>
          <w:kern w:val="0"/>
          <w:szCs w:val="32"/>
        </w:rPr>
      </w:pPr>
      <w:r>
        <w:rPr>
          <w:rFonts w:ascii="宋体" w:hAnsi="宋体" w:cs="宋体"/>
          <w:kern w:val="0"/>
          <w:szCs w:val="32"/>
        </w:rPr>
        <w:t>29</w:t>
      </w:r>
      <w:r>
        <w:rPr>
          <w:rFonts w:hint="eastAsia" w:ascii="宋体" w:hAnsi="宋体" w:cs="宋体"/>
          <w:kern w:val="0"/>
          <w:szCs w:val="32"/>
        </w:rPr>
        <w:t>、滴耳剂</w:t>
      </w:r>
    </w:p>
    <w:p>
      <w:pPr>
        <w:ind w:firstLine="31680" w:firstLineChars="200"/>
        <w:jc w:val="left"/>
        <w:rPr>
          <w:rFonts w:ascii="宋体" w:eastAsia="宋体" w:cs="宋体"/>
          <w:kern w:val="0"/>
          <w:szCs w:val="32"/>
        </w:rPr>
      </w:pPr>
      <w:r>
        <w:rPr>
          <w:rFonts w:ascii="宋体" w:hAnsi="宋体" w:cs="宋体"/>
          <w:kern w:val="0"/>
          <w:szCs w:val="32"/>
        </w:rPr>
        <w:t>30</w:t>
      </w:r>
      <w:r>
        <w:rPr>
          <w:rFonts w:hint="eastAsia" w:ascii="宋体" w:hAnsi="宋体" w:cs="宋体"/>
          <w:kern w:val="0"/>
          <w:szCs w:val="32"/>
        </w:rPr>
        <w:t>、眼膏剂：眼膏剂、眼用凝胶剂。</w:t>
      </w:r>
    </w:p>
    <w:p>
      <w:pPr>
        <w:autoSpaceDE w:val="0"/>
        <w:autoSpaceDN w:val="0"/>
        <w:ind w:firstLine="31680" w:firstLineChars="200"/>
        <w:jc w:val="left"/>
        <w:rPr>
          <w:rFonts w:ascii="宋体" w:eastAsia="宋体" w:cs="宋体"/>
          <w:kern w:val="0"/>
          <w:szCs w:val="32"/>
        </w:rPr>
      </w:pPr>
      <w:r>
        <w:rPr>
          <w:rFonts w:ascii="宋体" w:hAnsi="宋体" w:cs="宋体"/>
          <w:kern w:val="0"/>
          <w:szCs w:val="32"/>
        </w:rPr>
        <w:t>31</w:t>
      </w:r>
      <w:r>
        <w:rPr>
          <w:rFonts w:hint="eastAsia" w:ascii="宋体" w:hAnsi="宋体" w:cs="宋体"/>
          <w:kern w:val="0"/>
          <w:szCs w:val="32"/>
        </w:rPr>
        <w:t>、阴道用药：阴道片、阴道泡腾片、阴道胶囊、阴道软胶囊、阴道胶丸、阴道泡腾胶囊、阴道凝胶、阴道乳膏、阴道栓、阴道膨胀栓、阴道灌注液。</w:t>
      </w:r>
    </w:p>
    <w:p>
      <w:pPr>
        <w:autoSpaceDE w:val="0"/>
        <w:autoSpaceDN w:val="0"/>
        <w:ind w:firstLine="31680" w:firstLineChars="200"/>
        <w:jc w:val="left"/>
        <w:rPr>
          <w:rFonts w:ascii="宋体" w:eastAsia="宋体" w:cs="宋体"/>
          <w:kern w:val="0"/>
          <w:szCs w:val="32"/>
        </w:rPr>
      </w:pPr>
      <w:r>
        <w:rPr>
          <w:rFonts w:ascii="宋体" w:hAnsi="宋体" w:cs="宋体"/>
          <w:kern w:val="0"/>
          <w:szCs w:val="32"/>
        </w:rPr>
        <w:t>32</w:t>
      </w:r>
      <w:r>
        <w:rPr>
          <w:rFonts w:hint="eastAsia" w:ascii="宋体" w:hAnsi="宋体" w:cs="宋体"/>
          <w:kern w:val="0"/>
          <w:szCs w:val="32"/>
        </w:rPr>
        <w:t>、直肠栓</w:t>
      </w:r>
    </w:p>
    <w:p>
      <w:pPr>
        <w:autoSpaceDE w:val="0"/>
        <w:autoSpaceDN w:val="0"/>
        <w:ind w:firstLine="31680" w:firstLineChars="200"/>
        <w:jc w:val="left"/>
        <w:rPr>
          <w:rFonts w:ascii="宋体" w:eastAsia="宋体" w:cs="宋体"/>
          <w:kern w:val="0"/>
          <w:szCs w:val="32"/>
        </w:rPr>
      </w:pPr>
      <w:r>
        <w:rPr>
          <w:rFonts w:ascii="宋体" w:hAnsi="宋体" w:cs="宋体"/>
          <w:kern w:val="0"/>
          <w:szCs w:val="32"/>
        </w:rPr>
        <w:t>33</w:t>
      </w:r>
      <w:r>
        <w:rPr>
          <w:rFonts w:hint="eastAsia" w:ascii="宋体" w:hAnsi="宋体" w:cs="宋体"/>
          <w:kern w:val="0"/>
          <w:szCs w:val="32"/>
        </w:rPr>
        <w:t>、耳栓</w:t>
      </w:r>
    </w:p>
    <w:p>
      <w:pPr>
        <w:autoSpaceDE w:val="0"/>
        <w:autoSpaceDN w:val="0"/>
        <w:ind w:firstLine="31680" w:firstLineChars="200"/>
        <w:jc w:val="left"/>
        <w:rPr>
          <w:rFonts w:ascii="宋体" w:eastAsia="宋体" w:cs="宋体"/>
          <w:kern w:val="0"/>
          <w:szCs w:val="32"/>
        </w:rPr>
      </w:pPr>
      <w:r>
        <w:rPr>
          <w:rFonts w:ascii="宋体" w:hAnsi="宋体" w:cs="宋体"/>
          <w:kern w:val="0"/>
          <w:szCs w:val="32"/>
        </w:rPr>
        <w:t>34</w:t>
      </w:r>
      <w:r>
        <w:rPr>
          <w:rFonts w:hint="eastAsia" w:ascii="宋体" w:hAnsi="宋体" w:cs="宋体"/>
          <w:kern w:val="0"/>
          <w:szCs w:val="32"/>
        </w:rPr>
        <w:t>、植入剂</w:t>
      </w:r>
    </w:p>
    <w:p>
      <w:pPr>
        <w:autoSpaceDE w:val="0"/>
        <w:autoSpaceDN w:val="0"/>
        <w:ind w:firstLine="31680" w:firstLineChars="200"/>
        <w:jc w:val="left"/>
        <w:rPr>
          <w:rFonts w:ascii="宋体" w:eastAsia="宋体" w:cs="宋体"/>
          <w:color w:val="333333"/>
          <w:kern w:val="0"/>
          <w:szCs w:val="32"/>
        </w:rPr>
      </w:pPr>
      <w:r>
        <w:rPr>
          <w:rFonts w:ascii="宋体" w:hAnsi="宋体" w:cs="宋体"/>
          <w:kern w:val="0"/>
          <w:szCs w:val="32"/>
        </w:rPr>
        <w:t>35</w:t>
      </w:r>
      <w:r>
        <w:rPr>
          <w:rFonts w:hint="eastAsia" w:ascii="宋体" w:hAnsi="宋体" w:cs="宋体"/>
          <w:kern w:val="0"/>
          <w:szCs w:val="32"/>
        </w:rPr>
        <w:t>、</w:t>
      </w:r>
      <w:r>
        <w:rPr>
          <w:rFonts w:hint="eastAsia" w:ascii="宋体" w:hAnsi="宋体" w:cs="宋体"/>
          <w:color w:val="000000"/>
          <w:kern w:val="0"/>
          <w:szCs w:val="32"/>
        </w:rPr>
        <w:t>主要化学成分含量相同、但盐基、酸根、碱基、金属元素、结晶水数量、溶媒、配比不同的为同一评审单元。</w:t>
      </w:r>
    </w:p>
    <w:p>
      <w:pPr>
        <w:autoSpaceDE w:val="0"/>
        <w:autoSpaceDN w:val="0"/>
        <w:ind w:firstLine="31680" w:firstLineChars="200"/>
        <w:jc w:val="left"/>
        <w:rPr>
          <w:rFonts w:ascii="宋体" w:eastAsia="宋体" w:cs="宋体"/>
          <w:kern w:val="0"/>
          <w:szCs w:val="32"/>
        </w:rPr>
      </w:pPr>
      <w:r>
        <w:rPr>
          <w:rFonts w:ascii="宋体" w:hAnsi="宋体" w:cs="宋体"/>
          <w:kern w:val="0"/>
          <w:szCs w:val="32"/>
        </w:rPr>
        <w:t>36</w:t>
      </w:r>
      <w:r>
        <w:rPr>
          <w:rFonts w:hint="eastAsia" w:ascii="宋体" w:hAnsi="宋体" w:cs="宋体"/>
          <w:kern w:val="0"/>
          <w:szCs w:val="32"/>
        </w:rPr>
        <w:t>、复方制剂通用名不同，组方成分相同的为同一评审单元。</w:t>
      </w:r>
    </w:p>
    <w:p>
      <w:pPr>
        <w:ind w:firstLine="31680" w:firstLineChars="200"/>
        <w:jc w:val="left"/>
        <w:rPr>
          <w:rFonts w:ascii="宋体" w:eastAsia="宋体" w:cs="宋体"/>
          <w:kern w:val="0"/>
          <w:szCs w:val="32"/>
        </w:rPr>
      </w:pPr>
      <w:r>
        <w:rPr>
          <w:rFonts w:ascii="宋体" w:hAnsi="宋体" w:cs="宋体"/>
          <w:kern w:val="0"/>
          <w:szCs w:val="32"/>
        </w:rPr>
        <w:t>37</w:t>
      </w:r>
      <w:r>
        <w:rPr>
          <w:rFonts w:hint="eastAsia" w:ascii="宋体" w:hAnsi="宋体" w:cs="宋体"/>
          <w:kern w:val="0"/>
          <w:szCs w:val="32"/>
        </w:rPr>
        <w:t>、抗菌药物、胰岛素的复合制剂组方比例不同为不同评审单元。</w:t>
      </w:r>
    </w:p>
    <w:p>
      <w:pPr>
        <w:ind w:firstLine="31680" w:firstLineChars="200"/>
        <w:jc w:val="left"/>
        <w:rPr>
          <w:rFonts w:ascii="宋体" w:eastAsia="宋体" w:cs="宋体"/>
          <w:kern w:val="0"/>
          <w:szCs w:val="32"/>
        </w:rPr>
      </w:pPr>
      <w:r>
        <w:rPr>
          <w:rFonts w:ascii="宋体" w:hAnsi="宋体" w:cs="宋体"/>
          <w:kern w:val="0"/>
          <w:szCs w:val="32"/>
        </w:rPr>
        <w:t>38</w:t>
      </w:r>
      <w:r>
        <w:rPr>
          <w:rFonts w:hint="eastAsia" w:ascii="宋体" w:hAnsi="宋体" w:cs="宋体"/>
          <w:kern w:val="0"/>
          <w:szCs w:val="32"/>
        </w:rPr>
        <w:t>、外用溶液剂、软膏剂等按有效成份百分比分为不同评审单元。</w:t>
      </w:r>
    </w:p>
    <w:p>
      <w:pPr>
        <w:ind w:firstLine="31680" w:firstLineChars="200"/>
        <w:jc w:val="left"/>
        <w:rPr>
          <w:rFonts w:ascii="宋体" w:eastAsia="宋体" w:cs="宋体"/>
          <w:kern w:val="0"/>
          <w:szCs w:val="32"/>
        </w:rPr>
      </w:pPr>
      <w:r>
        <w:rPr>
          <w:rFonts w:ascii="宋体" w:hAnsi="宋体" w:cs="宋体"/>
          <w:kern w:val="0"/>
          <w:szCs w:val="32"/>
        </w:rPr>
        <w:t>39</w:t>
      </w:r>
      <w:r>
        <w:rPr>
          <w:rFonts w:hint="eastAsia" w:ascii="宋体" w:hAnsi="宋体" w:cs="宋体"/>
          <w:kern w:val="0"/>
          <w:szCs w:val="32"/>
        </w:rPr>
        <w:t>、主要成分含牛黄、麝香的药品，天然</w:t>
      </w:r>
      <w:r>
        <w:rPr>
          <w:rFonts w:ascii="宋体" w:hAnsi="宋体" w:cs="宋体"/>
          <w:kern w:val="0"/>
          <w:szCs w:val="32"/>
        </w:rPr>
        <w:t>(</w:t>
      </w:r>
      <w:r>
        <w:rPr>
          <w:rFonts w:hint="eastAsia" w:ascii="宋体" w:hAnsi="宋体" w:cs="宋体"/>
          <w:kern w:val="0"/>
          <w:szCs w:val="32"/>
        </w:rPr>
        <w:t>含体外培育或体内培植</w:t>
      </w:r>
      <w:r>
        <w:rPr>
          <w:rFonts w:ascii="宋体" w:hAnsi="宋体" w:cs="宋体"/>
          <w:kern w:val="0"/>
          <w:szCs w:val="32"/>
        </w:rPr>
        <w:t>)</w:t>
      </w:r>
      <w:r>
        <w:rPr>
          <w:rFonts w:hint="eastAsia" w:ascii="宋体" w:hAnsi="宋体" w:cs="宋体"/>
          <w:kern w:val="0"/>
          <w:szCs w:val="32"/>
        </w:rPr>
        <w:t>与人工为不同评审单元。</w:t>
      </w:r>
    </w:p>
    <w:p>
      <w:pPr>
        <w:ind w:firstLine="31680" w:firstLineChars="200"/>
        <w:jc w:val="left"/>
        <w:rPr>
          <w:rFonts w:ascii="宋体" w:eastAsia="宋体" w:cs="宋体"/>
          <w:kern w:val="0"/>
          <w:szCs w:val="32"/>
        </w:rPr>
      </w:pPr>
      <w:r>
        <w:rPr>
          <w:rFonts w:ascii="宋体" w:hAnsi="宋体" w:cs="宋体"/>
          <w:kern w:val="0"/>
          <w:szCs w:val="32"/>
        </w:rPr>
        <w:t>40</w:t>
      </w:r>
      <w:r>
        <w:rPr>
          <w:rFonts w:hint="eastAsia" w:ascii="宋体" w:hAnsi="宋体" w:cs="宋体"/>
          <w:kern w:val="0"/>
          <w:szCs w:val="32"/>
        </w:rPr>
        <w:t>、带附加装置</w:t>
      </w:r>
      <w:r>
        <w:rPr>
          <w:rFonts w:ascii="宋体" w:hAnsi="宋体" w:cs="宋体"/>
          <w:kern w:val="0"/>
          <w:szCs w:val="32"/>
        </w:rPr>
        <w:t>(</w:t>
      </w:r>
      <w:r>
        <w:rPr>
          <w:rFonts w:hint="eastAsia" w:ascii="宋体" w:hAnsi="宋体" w:cs="宋体"/>
          <w:kern w:val="0"/>
          <w:szCs w:val="32"/>
        </w:rPr>
        <w:t>如加药器、冲洗器、注射器、配溶媒、预灌封或预充式包装等</w:t>
      </w:r>
      <w:r>
        <w:rPr>
          <w:rFonts w:ascii="宋体" w:hAnsi="宋体" w:cs="宋体"/>
          <w:kern w:val="0"/>
          <w:szCs w:val="32"/>
        </w:rPr>
        <w:t>)</w:t>
      </w:r>
      <w:r>
        <w:rPr>
          <w:rFonts w:hint="eastAsia" w:ascii="宋体" w:hAnsi="宋体" w:cs="宋体"/>
          <w:kern w:val="0"/>
          <w:szCs w:val="32"/>
        </w:rPr>
        <w:t>药品与不带附加装置的药品划为同一评审单元；但胰岛素制剂分为笔芯、特充</w:t>
      </w:r>
      <w:r>
        <w:rPr>
          <w:rFonts w:ascii="宋体" w:hAnsi="宋体" w:cs="宋体"/>
          <w:kern w:val="0"/>
          <w:szCs w:val="32"/>
        </w:rPr>
        <w:t>(</w:t>
      </w:r>
      <w:r>
        <w:rPr>
          <w:rFonts w:hint="eastAsia" w:ascii="宋体" w:hAnsi="宋体" w:cs="宋体"/>
          <w:kern w:val="0"/>
          <w:szCs w:val="32"/>
        </w:rPr>
        <w:t>含预充</w:t>
      </w:r>
      <w:r>
        <w:rPr>
          <w:rFonts w:ascii="宋体" w:hAnsi="宋体" w:cs="宋体"/>
          <w:kern w:val="0"/>
          <w:szCs w:val="32"/>
        </w:rPr>
        <w:t>)</w:t>
      </w:r>
      <w:r>
        <w:rPr>
          <w:rFonts w:hint="eastAsia" w:ascii="宋体" w:hAnsi="宋体" w:cs="宋体"/>
          <w:kern w:val="0"/>
          <w:szCs w:val="32"/>
        </w:rPr>
        <w:t>和普通包装为不同评审单元。</w:t>
      </w:r>
    </w:p>
    <w:p>
      <w:pPr>
        <w:ind w:firstLine="31680" w:firstLineChars="200"/>
        <w:jc w:val="left"/>
        <w:rPr>
          <w:rFonts w:ascii="宋体" w:eastAsia="宋体" w:cs="宋体"/>
          <w:kern w:val="0"/>
          <w:szCs w:val="32"/>
        </w:rPr>
      </w:pPr>
      <w:r>
        <w:rPr>
          <w:rFonts w:ascii="宋体" w:hAnsi="宋体" w:cs="宋体"/>
          <w:kern w:val="0"/>
          <w:szCs w:val="32"/>
        </w:rPr>
        <w:t>41</w:t>
      </w:r>
      <w:r>
        <w:rPr>
          <w:rFonts w:hint="eastAsia" w:ascii="宋体" w:hAnsi="宋体" w:cs="宋体"/>
          <w:kern w:val="0"/>
          <w:szCs w:val="32"/>
        </w:rPr>
        <w:t>、中成药中颗粒剂、口服溶液剂中有糖和无糖型为不同评审单元。</w:t>
      </w:r>
    </w:p>
    <w:p>
      <w:pPr>
        <w:ind w:firstLine="31680" w:firstLineChars="200"/>
        <w:jc w:val="left"/>
        <w:rPr>
          <w:rFonts w:ascii="宋体" w:eastAsia="宋体" w:cs="宋体"/>
          <w:kern w:val="0"/>
          <w:szCs w:val="32"/>
        </w:rPr>
      </w:pPr>
      <w:r>
        <w:rPr>
          <w:rFonts w:ascii="宋体" w:hAnsi="宋体" w:cs="宋体"/>
          <w:kern w:val="0"/>
          <w:szCs w:val="32"/>
        </w:rPr>
        <w:t>42</w:t>
      </w:r>
      <w:r>
        <w:rPr>
          <w:rFonts w:hint="eastAsia" w:ascii="宋体" w:hAnsi="宋体" w:cs="宋体"/>
          <w:kern w:val="0"/>
          <w:szCs w:val="32"/>
        </w:rPr>
        <w:t>、滴眼剂、滴鼻剂中含玻璃酸钠与不含玻璃酸钠的为不同评审单元。</w:t>
      </w:r>
    </w:p>
    <w:p>
      <w:pPr>
        <w:autoSpaceDE w:val="0"/>
        <w:autoSpaceDN w:val="0"/>
        <w:ind w:firstLine="31680" w:firstLineChars="200"/>
        <w:jc w:val="left"/>
        <w:rPr>
          <w:rFonts w:ascii="宋体" w:eastAsia="宋体" w:cs="宋体"/>
          <w:kern w:val="0"/>
          <w:szCs w:val="32"/>
        </w:rPr>
      </w:pPr>
      <w:r>
        <w:rPr>
          <w:rFonts w:ascii="宋体" w:hAnsi="宋体" w:cs="宋体"/>
          <w:kern w:val="0"/>
          <w:szCs w:val="32"/>
        </w:rPr>
        <w:t>43</w:t>
      </w:r>
      <w:r>
        <w:rPr>
          <w:rFonts w:hint="eastAsia" w:ascii="宋体" w:hAnsi="宋体" w:cs="宋体"/>
          <w:kern w:val="0"/>
          <w:szCs w:val="32"/>
        </w:rPr>
        <w:t>、注射剂大于或等于</w:t>
      </w:r>
      <w:r>
        <w:rPr>
          <w:rFonts w:ascii="宋体" w:hAnsi="宋体" w:cs="宋体"/>
          <w:kern w:val="0"/>
          <w:szCs w:val="32"/>
        </w:rPr>
        <w:t>50ml</w:t>
      </w:r>
      <w:r>
        <w:rPr>
          <w:rFonts w:hint="eastAsia" w:ascii="宋体" w:hAnsi="宋体" w:cs="宋体"/>
          <w:kern w:val="0"/>
          <w:szCs w:val="32"/>
        </w:rPr>
        <w:t>的为大容量评审单元，小于</w:t>
      </w:r>
      <w:r>
        <w:rPr>
          <w:rFonts w:ascii="宋体" w:hAnsi="宋体" w:cs="宋体"/>
          <w:kern w:val="0"/>
          <w:szCs w:val="32"/>
        </w:rPr>
        <w:t>50ml</w:t>
      </w:r>
      <w:r>
        <w:rPr>
          <w:rFonts w:hint="eastAsia" w:ascii="宋体" w:hAnsi="宋体" w:cs="宋体"/>
          <w:kern w:val="0"/>
          <w:szCs w:val="32"/>
        </w:rPr>
        <w:t>的为小容量评审单元，大容量评审单元包装材料按玻璃瓶、塑料瓶、软袋分为不同评审单元，小容量评审单包装材料按塑料安瓿、玻璃安瓿分为不同评审单元。</w:t>
      </w:r>
    </w:p>
    <w:p>
      <w:pPr>
        <w:ind w:firstLine="31680" w:firstLineChars="200"/>
        <w:rPr>
          <w:rFonts w:ascii="宋体" w:eastAsia="宋体" w:cs="宋体"/>
          <w:kern w:val="0"/>
          <w:szCs w:val="32"/>
        </w:rPr>
      </w:pPr>
      <w:r>
        <w:rPr>
          <w:rFonts w:ascii="宋体" w:hAnsi="宋体" w:cs="宋体"/>
          <w:kern w:val="0"/>
          <w:szCs w:val="32"/>
        </w:rPr>
        <w:t>44</w:t>
      </w:r>
      <w:r>
        <w:rPr>
          <w:rFonts w:hint="eastAsia" w:ascii="宋体" w:hAnsi="宋体" w:cs="宋体"/>
          <w:kern w:val="0"/>
          <w:szCs w:val="32"/>
        </w:rPr>
        <w:t>、腹膜透析液区分为</w:t>
      </w:r>
      <w:r>
        <w:rPr>
          <w:rFonts w:ascii="宋体" w:hAnsi="宋体" w:cs="宋体"/>
          <w:kern w:val="0"/>
          <w:szCs w:val="32"/>
        </w:rPr>
        <w:t>PVC</w:t>
      </w:r>
      <w:r>
        <w:rPr>
          <w:rFonts w:hint="eastAsia" w:ascii="宋体" w:hAnsi="宋体" w:cs="宋体"/>
          <w:kern w:val="0"/>
          <w:szCs w:val="32"/>
        </w:rPr>
        <w:t>和非</w:t>
      </w:r>
      <w:r>
        <w:rPr>
          <w:rFonts w:ascii="宋体" w:hAnsi="宋体" w:cs="宋体"/>
          <w:kern w:val="0"/>
          <w:szCs w:val="32"/>
        </w:rPr>
        <w:t>PVC</w:t>
      </w:r>
      <w:r>
        <w:rPr>
          <w:rFonts w:hint="eastAsia" w:ascii="宋体" w:hAnsi="宋体" w:cs="宋体"/>
          <w:kern w:val="0"/>
          <w:szCs w:val="32"/>
        </w:rPr>
        <w:t>两个评审单元。</w:t>
      </w:r>
    </w:p>
    <w:p>
      <w:pPr>
        <w:ind w:firstLine="31680" w:firstLineChars="200"/>
        <w:rPr>
          <w:rFonts w:ascii="宋体" w:eastAsia="宋体" w:cs="宋体"/>
          <w:kern w:val="0"/>
          <w:szCs w:val="32"/>
        </w:rPr>
      </w:pPr>
      <w:r>
        <w:rPr>
          <w:rFonts w:ascii="宋体" w:hAnsi="宋体" w:cs="宋体"/>
          <w:kern w:val="0"/>
          <w:szCs w:val="32"/>
        </w:rPr>
        <w:t>45</w:t>
      </w:r>
      <w:r>
        <w:rPr>
          <w:rFonts w:hint="eastAsia" w:ascii="宋体" w:hAnsi="宋体" w:cs="宋体"/>
          <w:kern w:val="0"/>
          <w:szCs w:val="32"/>
        </w:rPr>
        <w:t>、低分子肝素注射液分为</w:t>
      </w:r>
      <w:r>
        <w:rPr>
          <w:rFonts w:ascii="宋体" w:hAnsi="宋体" w:cs="宋体"/>
          <w:kern w:val="0"/>
          <w:szCs w:val="32"/>
        </w:rPr>
        <w:t>2000-2500AXaIU</w:t>
      </w:r>
      <w:r>
        <w:rPr>
          <w:rFonts w:hint="eastAsia" w:ascii="宋体" w:hAnsi="宋体" w:cs="宋体"/>
          <w:kern w:val="0"/>
          <w:szCs w:val="32"/>
        </w:rPr>
        <w:t>、</w:t>
      </w:r>
      <w:r>
        <w:rPr>
          <w:rFonts w:ascii="宋体" w:hAnsi="宋体" w:cs="宋体"/>
          <w:kern w:val="0"/>
          <w:szCs w:val="32"/>
        </w:rPr>
        <w:t>3000-3200AXaIU</w:t>
      </w:r>
      <w:r>
        <w:rPr>
          <w:rFonts w:hint="eastAsia" w:ascii="宋体" w:hAnsi="宋体" w:cs="宋体"/>
          <w:kern w:val="0"/>
          <w:szCs w:val="32"/>
        </w:rPr>
        <w:t>、</w:t>
      </w:r>
      <w:r>
        <w:rPr>
          <w:rFonts w:ascii="宋体" w:hAnsi="宋体" w:cs="宋体"/>
          <w:kern w:val="0"/>
          <w:szCs w:val="32"/>
        </w:rPr>
        <w:t>4000-4250AXaIU</w:t>
      </w:r>
      <w:r>
        <w:rPr>
          <w:rFonts w:hint="eastAsia" w:ascii="宋体" w:hAnsi="宋体" w:cs="宋体"/>
          <w:kern w:val="0"/>
          <w:szCs w:val="32"/>
        </w:rPr>
        <w:t>和</w:t>
      </w:r>
      <w:r>
        <w:rPr>
          <w:rFonts w:ascii="宋体" w:hAnsi="宋体" w:cs="宋体"/>
          <w:kern w:val="0"/>
          <w:szCs w:val="32"/>
        </w:rPr>
        <w:t>5000-6000AXaIU</w:t>
      </w:r>
      <w:r>
        <w:rPr>
          <w:rFonts w:hint="eastAsia" w:ascii="宋体" w:hAnsi="宋体" w:cs="宋体"/>
          <w:kern w:val="0"/>
          <w:szCs w:val="32"/>
        </w:rPr>
        <w:t>四个评审单元，每个评审单元按照单位含量进行比价。</w:t>
      </w:r>
    </w:p>
    <w:p>
      <w:pPr>
        <w:ind w:firstLine="31680" w:firstLineChars="200"/>
        <w:rPr>
          <w:rFonts w:ascii="宋体" w:eastAsia="宋体" w:cs="宋体"/>
          <w:kern w:val="0"/>
          <w:szCs w:val="32"/>
        </w:rPr>
      </w:pPr>
      <w:r>
        <w:rPr>
          <w:rFonts w:ascii="宋体" w:hAnsi="宋体" w:cs="宋体"/>
          <w:kern w:val="0"/>
          <w:szCs w:val="32"/>
        </w:rPr>
        <w:t>46</w:t>
      </w:r>
      <w:r>
        <w:rPr>
          <w:rFonts w:hint="eastAsia" w:ascii="宋体" w:hAnsi="宋体" w:cs="宋体"/>
          <w:kern w:val="0"/>
          <w:szCs w:val="32"/>
        </w:rPr>
        <w:t>、抗蛇毒血清包括抗蝮蛇毒血清、抗五步蛇毒血清、抗银环蛇毒血清、抗眼镜蛇毒血清，所有规格均可申报，按照通用名、规格分为不同评审单元评审。</w:t>
      </w:r>
      <w:r>
        <w:rPr>
          <w:rFonts w:ascii="宋体" w:hAnsi="宋体" w:cs="宋体"/>
          <w:kern w:val="0"/>
          <w:szCs w:val="32"/>
        </w:rPr>
        <w:t xml:space="preserve"> </w:t>
      </w:r>
    </w:p>
    <w:p>
      <w:pPr>
        <w:autoSpaceDE w:val="0"/>
        <w:autoSpaceDN w:val="0"/>
        <w:ind w:firstLine="31680" w:firstLineChars="200"/>
        <w:outlineLvl w:val="0"/>
        <w:rPr>
          <w:rFonts w:ascii="宋体" w:eastAsia="宋体" w:cs="宋体"/>
          <w:kern w:val="0"/>
          <w:szCs w:val="32"/>
        </w:rPr>
      </w:pPr>
      <w:r>
        <w:rPr>
          <w:rFonts w:hint="eastAsia" w:ascii="宋体" w:hAnsi="宋体" w:cs="宋体"/>
          <w:kern w:val="0"/>
          <w:szCs w:val="32"/>
        </w:rPr>
        <w:t>如出现上述分类未涉及的情况，由专家组审核确定。</w:t>
      </w:r>
    </w:p>
    <w:p>
      <w:pPr>
        <w:autoSpaceDE w:val="0"/>
        <w:autoSpaceDN w:val="0"/>
        <w:outlineLvl w:val="0"/>
        <w:rPr>
          <w:rFonts w:ascii="宋体" w:eastAsia="宋体" w:cs="宋体"/>
          <w:kern w:val="0"/>
          <w:szCs w:val="32"/>
        </w:rPr>
      </w:pPr>
    </w:p>
    <w:p>
      <w:pPr>
        <w:widowControl/>
        <w:jc w:val="left"/>
        <w:rPr>
          <w:rFonts w:ascii="宋体" w:hAnsi="宋体" w:eastAsia="黑体" w:cs="黑体"/>
          <w:kern w:val="0"/>
        </w:rPr>
      </w:pPr>
      <w:r>
        <w:rPr>
          <w:rFonts w:ascii="宋体" w:hAnsi="宋体" w:eastAsia="黑体" w:cs="黑体"/>
          <w:kern w:val="0"/>
        </w:rPr>
        <w:br w:type="page"/>
      </w:r>
      <w:r>
        <w:rPr>
          <w:rFonts w:hint="eastAsia" w:ascii="宋体" w:hAnsi="宋体" w:eastAsia="黑体" w:cs="黑体"/>
          <w:kern w:val="0"/>
        </w:rPr>
        <w:t>附件</w:t>
      </w:r>
      <w:r>
        <w:rPr>
          <w:rFonts w:ascii="宋体" w:hAnsi="宋体" w:eastAsia="黑体" w:cs="黑体"/>
          <w:kern w:val="0"/>
        </w:rPr>
        <w:t>3:</w:t>
      </w:r>
    </w:p>
    <w:p>
      <w:pPr>
        <w:spacing w:line="360" w:lineRule="auto"/>
        <w:jc w:val="center"/>
        <w:rPr>
          <w:rFonts w:ascii="宋体" w:hAnsi="宋体" w:eastAsia="宋体" w:cs="华文中宋"/>
          <w:b/>
          <w:bCs/>
          <w:kern w:val="0"/>
          <w:sz w:val="44"/>
          <w:szCs w:val="44"/>
        </w:rPr>
      </w:pPr>
      <w:r>
        <w:rPr>
          <w:rFonts w:hint="eastAsia" w:ascii="宋体" w:hAnsi="宋体" w:eastAsia="宋体" w:cs="华文中宋"/>
          <w:b/>
          <w:bCs/>
          <w:kern w:val="0"/>
          <w:sz w:val="44"/>
          <w:szCs w:val="44"/>
        </w:rPr>
        <w:t>经济技术标评标体系</w:t>
      </w:r>
    </w:p>
    <w:tbl>
      <w:tblPr>
        <w:tblStyle w:val="10"/>
        <w:tblW w:w="8860" w:type="dxa"/>
        <w:jc w:val="center"/>
        <w:tblInd w:w="93" w:type="dxa"/>
        <w:tblLayout w:type="fixed"/>
        <w:tblCellMar>
          <w:top w:w="0" w:type="dxa"/>
          <w:left w:w="108" w:type="dxa"/>
          <w:bottom w:w="0" w:type="dxa"/>
          <w:right w:w="108" w:type="dxa"/>
        </w:tblCellMar>
      </w:tblPr>
      <w:tblGrid>
        <w:gridCol w:w="2449"/>
        <w:gridCol w:w="2506"/>
        <w:gridCol w:w="969"/>
        <w:gridCol w:w="2936"/>
      </w:tblGrid>
      <w:tr>
        <w:tblPrEx>
          <w:tblLayout w:type="fixed"/>
          <w:tblCellMar>
            <w:top w:w="0" w:type="dxa"/>
            <w:left w:w="108" w:type="dxa"/>
            <w:bottom w:w="0" w:type="dxa"/>
            <w:right w:w="108" w:type="dxa"/>
          </w:tblCellMar>
        </w:tblPrEx>
        <w:trPr>
          <w:trHeight w:val="375"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b/>
                <w:bCs/>
                <w:color w:val="000000"/>
                <w:kern w:val="0"/>
                <w:sz w:val="24"/>
              </w:rPr>
            </w:pPr>
            <w:r>
              <w:rPr>
                <w:rFonts w:hint="eastAsia" w:ascii="仿宋" w:hAnsi="仿宋" w:eastAsia="仿宋" w:cs="Tahoma"/>
                <w:b/>
                <w:bCs/>
                <w:color w:val="000000"/>
                <w:kern w:val="0"/>
                <w:sz w:val="24"/>
              </w:rPr>
              <w:t>评审指标</w:t>
            </w:r>
          </w:p>
        </w:tc>
        <w:tc>
          <w:tcPr>
            <w:tcW w:w="250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b/>
                <w:bCs/>
                <w:color w:val="000000"/>
                <w:kern w:val="0"/>
                <w:sz w:val="24"/>
              </w:rPr>
            </w:pPr>
            <w:r>
              <w:rPr>
                <w:rFonts w:hint="eastAsia" w:ascii="仿宋" w:hAnsi="仿宋" w:eastAsia="仿宋" w:cs="Tahoma"/>
                <w:b/>
                <w:bCs/>
                <w:color w:val="000000"/>
                <w:kern w:val="0"/>
                <w:sz w:val="24"/>
              </w:rPr>
              <w:t>指标</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b/>
                <w:bCs/>
                <w:color w:val="000000"/>
                <w:kern w:val="0"/>
                <w:sz w:val="24"/>
              </w:rPr>
            </w:pPr>
            <w:r>
              <w:rPr>
                <w:rFonts w:hint="eastAsia" w:ascii="仿宋" w:hAnsi="仿宋" w:eastAsia="仿宋" w:cs="Tahoma"/>
                <w:b/>
                <w:bCs/>
                <w:color w:val="000000"/>
                <w:kern w:val="0"/>
                <w:sz w:val="24"/>
              </w:rPr>
              <w:t>分值</w:t>
            </w:r>
          </w:p>
        </w:tc>
        <w:tc>
          <w:tcPr>
            <w:tcW w:w="29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b/>
                <w:bCs/>
                <w:color w:val="000000"/>
                <w:kern w:val="0"/>
                <w:sz w:val="24"/>
              </w:rPr>
            </w:pPr>
            <w:r>
              <w:rPr>
                <w:rFonts w:hint="eastAsia" w:ascii="仿宋" w:hAnsi="仿宋" w:eastAsia="仿宋" w:cs="Tahoma"/>
                <w:b/>
                <w:bCs/>
                <w:color w:val="000000"/>
                <w:kern w:val="0"/>
                <w:sz w:val="24"/>
              </w:rPr>
              <w:t>备注</w:t>
            </w:r>
          </w:p>
        </w:tc>
      </w:tr>
      <w:tr>
        <w:tblPrEx>
          <w:tblLayout w:type="fixed"/>
          <w:tblCellMar>
            <w:top w:w="0" w:type="dxa"/>
            <w:left w:w="108" w:type="dxa"/>
            <w:bottom w:w="0" w:type="dxa"/>
            <w:right w:w="108" w:type="dxa"/>
          </w:tblCellMar>
        </w:tblPrEx>
        <w:trPr>
          <w:trHeight w:val="495" w:hRule="atLeast"/>
          <w:jc w:val="center"/>
        </w:trPr>
        <w:tc>
          <w:tcPr>
            <w:tcW w:w="24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生产规模</w:t>
            </w:r>
            <w:r>
              <w:rPr>
                <w:rFonts w:ascii="仿宋" w:hAnsi="仿宋" w:eastAsia="仿宋" w:cs="Tahoma"/>
                <w:color w:val="000000"/>
                <w:kern w:val="0"/>
                <w:sz w:val="24"/>
              </w:rPr>
              <w:t>10</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1</w:t>
            </w:r>
            <w:r>
              <w:rPr>
                <w:rFonts w:hint="eastAsia" w:ascii="仿宋" w:hAnsi="仿宋" w:eastAsia="仿宋" w:cs="Tahoma"/>
                <w:color w:val="000000"/>
                <w:kern w:val="0"/>
                <w:sz w:val="24"/>
              </w:rPr>
              <w:t>～</w:t>
            </w:r>
            <w:r>
              <w:rPr>
                <w:rFonts w:ascii="仿宋" w:hAnsi="仿宋" w:eastAsia="仿宋" w:cs="Tahoma"/>
                <w:color w:val="000000"/>
                <w:kern w:val="0"/>
                <w:sz w:val="24"/>
              </w:rPr>
              <w:t>50</w:t>
            </w:r>
            <w:r>
              <w:rPr>
                <w:rFonts w:hint="eastAsia" w:ascii="仿宋" w:hAnsi="仿宋" w:eastAsia="仿宋" w:cs="Tahoma"/>
                <w:color w:val="000000"/>
                <w:kern w:val="0"/>
                <w:sz w:val="24"/>
              </w:rPr>
              <w:t>名</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10</w:t>
            </w:r>
          </w:p>
        </w:tc>
        <w:tc>
          <w:tcPr>
            <w:tcW w:w="2936"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以工业和信息化部《中国医药统计年报</w:t>
            </w:r>
            <w:r>
              <w:rPr>
                <w:rFonts w:ascii="仿宋" w:hAnsi="仿宋" w:eastAsia="仿宋" w:cs="Tahoma"/>
                <w:color w:val="000000"/>
                <w:kern w:val="0"/>
                <w:sz w:val="24"/>
              </w:rPr>
              <w:t>(2014)</w:t>
            </w:r>
            <w:r>
              <w:rPr>
                <w:rFonts w:hint="eastAsia" w:ascii="仿宋" w:hAnsi="仿宋" w:eastAsia="仿宋" w:cs="Tahoma"/>
                <w:color w:val="000000"/>
                <w:kern w:val="0"/>
                <w:sz w:val="24"/>
              </w:rPr>
              <w:t>》公布的企业法人单位按医药工业主营业务收入排序为依据。</w:t>
            </w:r>
          </w:p>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境外企业属于美国《制药经理人》</w:t>
            </w:r>
            <w:r>
              <w:rPr>
                <w:rFonts w:ascii="仿宋" w:hAnsi="仿宋" w:eastAsia="仿宋" w:cs="Tahoma"/>
                <w:color w:val="000000"/>
                <w:kern w:val="0"/>
                <w:sz w:val="24"/>
              </w:rPr>
              <w:t>2014</w:t>
            </w:r>
            <w:r>
              <w:rPr>
                <w:rFonts w:hint="eastAsia" w:ascii="仿宋" w:hAnsi="仿宋" w:eastAsia="仿宋" w:cs="Tahoma"/>
                <w:color w:val="000000"/>
                <w:kern w:val="0"/>
                <w:sz w:val="24"/>
              </w:rPr>
              <w:t>年度排名前</w:t>
            </w:r>
            <w:r>
              <w:rPr>
                <w:rFonts w:ascii="仿宋" w:hAnsi="仿宋" w:eastAsia="仿宋" w:cs="Tahoma"/>
                <w:color w:val="000000"/>
                <w:kern w:val="0"/>
                <w:sz w:val="24"/>
              </w:rPr>
              <w:t>50</w:t>
            </w:r>
            <w:r>
              <w:rPr>
                <w:rFonts w:hint="eastAsia" w:ascii="仿宋" w:hAnsi="仿宋" w:eastAsia="仿宋" w:cs="Tahoma"/>
                <w:color w:val="000000"/>
                <w:kern w:val="0"/>
                <w:sz w:val="24"/>
              </w:rPr>
              <w:t>强的境外制药企业赋</w:t>
            </w:r>
            <w:r>
              <w:rPr>
                <w:rFonts w:ascii="仿宋" w:hAnsi="仿宋" w:eastAsia="仿宋" w:cs="Tahoma"/>
                <w:color w:val="000000"/>
                <w:kern w:val="0"/>
                <w:sz w:val="24"/>
              </w:rPr>
              <w:t>10</w:t>
            </w:r>
            <w:r>
              <w:rPr>
                <w:rFonts w:hint="eastAsia" w:ascii="仿宋" w:hAnsi="仿宋" w:eastAsia="仿宋" w:cs="Tahoma"/>
                <w:color w:val="000000"/>
                <w:kern w:val="0"/>
                <w:sz w:val="24"/>
              </w:rPr>
              <w:t>分</w:t>
            </w:r>
            <w:r>
              <w:rPr>
                <w:rFonts w:ascii="仿宋" w:hAnsi="仿宋" w:eastAsia="仿宋" w:cs="Tahoma"/>
                <w:color w:val="000000"/>
                <w:kern w:val="0"/>
                <w:sz w:val="24"/>
              </w:rPr>
              <w:t>,</w:t>
            </w:r>
            <w:r>
              <w:rPr>
                <w:rFonts w:hint="eastAsia" w:ascii="仿宋" w:hAnsi="仿宋" w:eastAsia="仿宋" w:cs="Tahoma"/>
                <w:color w:val="000000"/>
                <w:kern w:val="0"/>
                <w:sz w:val="24"/>
              </w:rPr>
              <w:t>其它赋</w:t>
            </w:r>
            <w:r>
              <w:rPr>
                <w:rFonts w:ascii="仿宋" w:hAnsi="仿宋" w:eastAsia="仿宋" w:cs="Tahoma"/>
                <w:color w:val="000000"/>
                <w:kern w:val="0"/>
                <w:sz w:val="24"/>
              </w:rPr>
              <w:t>6</w:t>
            </w:r>
            <w:r>
              <w:rPr>
                <w:rFonts w:hint="eastAsia" w:ascii="仿宋" w:hAnsi="仿宋" w:eastAsia="仿宋" w:cs="Tahoma"/>
                <w:color w:val="000000"/>
                <w:kern w:val="0"/>
                <w:sz w:val="24"/>
              </w:rPr>
              <w:t>分</w:t>
            </w:r>
            <w:r>
              <w:rPr>
                <w:rFonts w:ascii="仿宋" w:hAnsi="仿宋" w:eastAsia="仿宋" w:cs="Tahoma"/>
                <w:color w:val="000000"/>
                <w:kern w:val="0"/>
                <w:sz w:val="24"/>
              </w:rPr>
              <w:t>(</w:t>
            </w:r>
            <w:r>
              <w:rPr>
                <w:rFonts w:hint="eastAsia" w:ascii="仿宋" w:hAnsi="仿宋" w:eastAsia="仿宋" w:cs="Tahoma"/>
                <w:color w:val="000000"/>
                <w:kern w:val="0"/>
                <w:sz w:val="24"/>
              </w:rPr>
              <w:t>详见附件</w:t>
            </w:r>
            <w:r>
              <w:rPr>
                <w:rFonts w:hint="eastAsia" w:ascii="仿宋" w:hAnsi="仿宋" w:eastAsia="仿宋" w:cs="Tahoma"/>
                <w:color w:val="000000"/>
                <w:kern w:val="0"/>
                <w:sz w:val="24"/>
                <w:lang w:val="en-US" w:eastAsia="zh-CN"/>
              </w:rPr>
              <w:t>4</w:t>
            </w:r>
            <w:r>
              <w:rPr>
                <w:rFonts w:ascii="仿宋" w:hAnsi="仿宋" w:eastAsia="仿宋" w:cs="Tahoma"/>
                <w:color w:val="000000"/>
                <w:kern w:val="0"/>
                <w:sz w:val="24"/>
              </w:rPr>
              <w:t>)</w:t>
            </w:r>
            <w:r>
              <w:rPr>
                <w:rFonts w:hint="eastAsia" w:ascii="仿宋" w:hAnsi="仿宋" w:eastAsia="仿宋" w:cs="Tahoma"/>
                <w:color w:val="000000"/>
                <w:kern w:val="0"/>
                <w:sz w:val="24"/>
              </w:rPr>
              <w:t>。</w:t>
            </w:r>
          </w:p>
        </w:tc>
      </w:tr>
      <w:tr>
        <w:tblPrEx>
          <w:tblLayout w:type="fixed"/>
          <w:tblCellMar>
            <w:top w:w="0" w:type="dxa"/>
            <w:left w:w="108" w:type="dxa"/>
            <w:bottom w:w="0" w:type="dxa"/>
            <w:right w:w="108" w:type="dxa"/>
          </w:tblCellMar>
        </w:tblPrEx>
        <w:trPr>
          <w:trHeight w:val="417"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51</w:t>
            </w:r>
            <w:r>
              <w:rPr>
                <w:rFonts w:hint="eastAsia" w:ascii="仿宋" w:hAnsi="仿宋" w:eastAsia="仿宋" w:cs="Tahoma"/>
                <w:color w:val="000000"/>
                <w:kern w:val="0"/>
                <w:sz w:val="24"/>
              </w:rPr>
              <w:t>～</w:t>
            </w:r>
            <w:r>
              <w:rPr>
                <w:rFonts w:ascii="仿宋" w:hAnsi="仿宋" w:eastAsia="仿宋" w:cs="Tahoma"/>
                <w:color w:val="000000"/>
                <w:kern w:val="0"/>
                <w:sz w:val="24"/>
              </w:rPr>
              <w:t>100</w:t>
            </w:r>
            <w:r>
              <w:rPr>
                <w:rFonts w:hint="eastAsia" w:ascii="仿宋" w:hAnsi="仿宋" w:eastAsia="仿宋" w:cs="Tahoma"/>
                <w:color w:val="000000"/>
                <w:kern w:val="0"/>
                <w:sz w:val="24"/>
              </w:rPr>
              <w:t>名</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9</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408"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101</w:t>
            </w:r>
            <w:r>
              <w:rPr>
                <w:rFonts w:hint="eastAsia" w:ascii="仿宋" w:hAnsi="仿宋" w:eastAsia="仿宋" w:cs="Tahoma"/>
                <w:color w:val="000000"/>
                <w:kern w:val="0"/>
                <w:sz w:val="24"/>
              </w:rPr>
              <w:t>～</w:t>
            </w:r>
            <w:r>
              <w:rPr>
                <w:rFonts w:ascii="仿宋" w:hAnsi="仿宋" w:eastAsia="仿宋" w:cs="Tahoma"/>
                <w:color w:val="000000"/>
                <w:kern w:val="0"/>
                <w:sz w:val="24"/>
              </w:rPr>
              <w:t>200</w:t>
            </w:r>
            <w:r>
              <w:rPr>
                <w:rFonts w:hint="eastAsia" w:ascii="仿宋" w:hAnsi="仿宋" w:eastAsia="仿宋" w:cs="Tahoma"/>
                <w:color w:val="000000"/>
                <w:kern w:val="0"/>
                <w:sz w:val="24"/>
              </w:rPr>
              <w:t>名</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414"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201</w:t>
            </w:r>
            <w:r>
              <w:rPr>
                <w:rFonts w:hint="eastAsia" w:ascii="仿宋" w:hAnsi="仿宋" w:eastAsia="仿宋" w:cs="Tahoma"/>
                <w:color w:val="000000"/>
                <w:kern w:val="0"/>
                <w:sz w:val="24"/>
              </w:rPr>
              <w:t>～</w:t>
            </w:r>
            <w:r>
              <w:rPr>
                <w:rFonts w:ascii="仿宋" w:hAnsi="仿宋" w:eastAsia="仿宋" w:cs="Tahoma"/>
                <w:color w:val="000000"/>
                <w:kern w:val="0"/>
                <w:sz w:val="24"/>
              </w:rPr>
              <w:t>300</w:t>
            </w:r>
            <w:r>
              <w:rPr>
                <w:rFonts w:hint="eastAsia" w:ascii="仿宋" w:hAnsi="仿宋" w:eastAsia="仿宋" w:cs="Tahoma"/>
                <w:color w:val="000000"/>
                <w:kern w:val="0"/>
                <w:sz w:val="24"/>
              </w:rPr>
              <w:t>名</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7</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407"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301</w:t>
            </w:r>
            <w:r>
              <w:rPr>
                <w:rFonts w:hint="eastAsia" w:ascii="仿宋" w:hAnsi="仿宋" w:eastAsia="仿宋" w:cs="Tahoma"/>
                <w:color w:val="000000"/>
                <w:kern w:val="0"/>
                <w:sz w:val="24"/>
              </w:rPr>
              <w:t>～</w:t>
            </w:r>
            <w:r>
              <w:rPr>
                <w:rFonts w:ascii="仿宋" w:hAnsi="仿宋" w:eastAsia="仿宋" w:cs="Tahoma"/>
                <w:color w:val="000000"/>
                <w:kern w:val="0"/>
                <w:sz w:val="24"/>
              </w:rPr>
              <w:t>400</w:t>
            </w:r>
            <w:r>
              <w:rPr>
                <w:rFonts w:hint="eastAsia" w:ascii="仿宋" w:hAnsi="仿宋" w:eastAsia="仿宋" w:cs="Tahoma"/>
                <w:color w:val="000000"/>
                <w:kern w:val="0"/>
                <w:sz w:val="24"/>
              </w:rPr>
              <w:t>名</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6</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413"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其他</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5</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625" w:hRule="atLeast"/>
          <w:jc w:val="center"/>
        </w:trPr>
        <w:tc>
          <w:tcPr>
            <w:tcW w:w="244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销售额</w:t>
            </w:r>
            <w:r>
              <w:rPr>
                <w:rFonts w:ascii="仿宋" w:hAnsi="仿宋" w:eastAsia="仿宋" w:cs="Tahoma"/>
                <w:color w:val="000000"/>
                <w:kern w:val="0"/>
                <w:sz w:val="24"/>
              </w:rPr>
              <w:t>10</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销售额≥</w:t>
            </w:r>
            <w:r>
              <w:rPr>
                <w:rFonts w:ascii="仿宋" w:hAnsi="仿宋" w:eastAsia="仿宋" w:cs="Tahoma"/>
                <w:color w:val="000000"/>
                <w:kern w:val="0"/>
                <w:sz w:val="24"/>
              </w:rPr>
              <w:t>30</w:t>
            </w:r>
            <w:r>
              <w:rPr>
                <w:rFonts w:hint="eastAsia" w:ascii="仿宋" w:hAnsi="仿宋" w:eastAsia="仿宋" w:cs="Tahoma"/>
                <w:color w:val="000000"/>
                <w:kern w:val="0"/>
                <w:sz w:val="24"/>
              </w:rPr>
              <w:t>亿元</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10</w:t>
            </w:r>
          </w:p>
        </w:tc>
        <w:tc>
          <w:tcPr>
            <w:tcW w:w="2936" w:type="dxa"/>
            <w:vMerge w:val="restart"/>
            <w:tcBorders>
              <w:top w:val="nil"/>
              <w:left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以产品实际生产企业</w:t>
            </w:r>
            <w:r>
              <w:rPr>
                <w:rFonts w:ascii="仿宋" w:hAnsi="仿宋" w:eastAsia="仿宋" w:cs="Tahoma"/>
                <w:color w:val="000000"/>
                <w:kern w:val="0"/>
                <w:sz w:val="24"/>
              </w:rPr>
              <w:t>2014</w:t>
            </w:r>
            <w:r>
              <w:rPr>
                <w:rFonts w:hint="eastAsia" w:ascii="仿宋" w:hAnsi="仿宋" w:eastAsia="仿宋" w:cs="Tahoma"/>
                <w:color w:val="000000"/>
                <w:kern w:val="0"/>
                <w:sz w:val="24"/>
              </w:rPr>
              <w:t>年增值税纳税报表为依据，年销售额在</w:t>
            </w:r>
            <w:r>
              <w:rPr>
                <w:rFonts w:ascii="仿宋" w:hAnsi="仿宋" w:eastAsia="仿宋" w:cs="Tahoma"/>
                <w:color w:val="000000"/>
                <w:kern w:val="0"/>
                <w:sz w:val="24"/>
              </w:rPr>
              <w:t>1</w:t>
            </w:r>
            <w:r>
              <w:rPr>
                <w:rFonts w:hint="eastAsia" w:ascii="仿宋" w:hAnsi="仿宋" w:eastAsia="仿宋" w:cs="Tahoma"/>
                <w:color w:val="000000"/>
                <w:kern w:val="0"/>
                <w:sz w:val="24"/>
              </w:rPr>
              <w:t>亿以下的企业无需提供报表。</w:t>
            </w: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20</w:t>
            </w:r>
            <w:r>
              <w:rPr>
                <w:rFonts w:hint="eastAsia" w:ascii="仿宋" w:hAnsi="仿宋" w:eastAsia="仿宋" w:cs="Tahoma"/>
                <w:color w:val="000000"/>
                <w:kern w:val="0"/>
                <w:sz w:val="24"/>
              </w:rPr>
              <w:t>亿元≤年销售额＜</w:t>
            </w:r>
            <w:r>
              <w:rPr>
                <w:rFonts w:ascii="仿宋" w:hAnsi="仿宋" w:eastAsia="仿宋" w:cs="Tahoma"/>
                <w:color w:val="000000"/>
                <w:kern w:val="0"/>
                <w:sz w:val="24"/>
              </w:rPr>
              <w:t>30</w:t>
            </w:r>
            <w:r>
              <w:rPr>
                <w:rFonts w:hint="eastAsia" w:ascii="仿宋" w:hAnsi="仿宋" w:eastAsia="仿宋" w:cs="Tahoma"/>
                <w:color w:val="000000"/>
                <w:kern w:val="0"/>
                <w:sz w:val="24"/>
              </w:rPr>
              <w:t>亿元</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9</w:t>
            </w:r>
          </w:p>
        </w:tc>
        <w:tc>
          <w:tcPr>
            <w:tcW w:w="2936"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10</w:t>
            </w:r>
            <w:r>
              <w:rPr>
                <w:rFonts w:hint="eastAsia" w:ascii="仿宋" w:hAnsi="仿宋" w:eastAsia="仿宋" w:cs="Tahoma"/>
                <w:color w:val="000000"/>
                <w:kern w:val="0"/>
                <w:sz w:val="24"/>
              </w:rPr>
              <w:t>亿元≤年销售额＜</w:t>
            </w:r>
            <w:r>
              <w:rPr>
                <w:rFonts w:ascii="仿宋" w:hAnsi="仿宋" w:eastAsia="仿宋" w:cs="Tahoma"/>
                <w:color w:val="000000"/>
                <w:kern w:val="0"/>
                <w:sz w:val="24"/>
              </w:rPr>
              <w:t>20</w:t>
            </w:r>
            <w:r>
              <w:rPr>
                <w:rFonts w:hint="eastAsia" w:ascii="仿宋" w:hAnsi="仿宋" w:eastAsia="仿宋" w:cs="Tahoma"/>
                <w:color w:val="000000"/>
                <w:kern w:val="0"/>
                <w:sz w:val="24"/>
              </w:rPr>
              <w:t>亿元</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5</w:t>
            </w:r>
            <w:r>
              <w:rPr>
                <w:rFonts w:hint="eastAsia" w:ascii="仿宋" w:hAnsi="仿宋" w:eastAsia="仿宋" w:cs="Tahoma"/>
                <w:color w:val="000000"/>
                <w:kern w:val="0"/>
                <w:sz w:val="24"/>
              </w:rPr>
              <w:t>亿元≤年销售额＜</w:t>
            </w:r>
            <w:r>
              <w:rPr>
                <w:rFonts w:ascii="仿宋" w:hAnsi="仿宋" w:eastAsia="仿宋" w:cs="Tahoma"/>
                <w:color w:val="000000"/>
                <w:kern w:val="0"/>
                <w:sz w:val="24"/>
              </w:rPr>
              <w:t>10</w:t>
            </w:r>
            <w:r>
              <w:rPr>
                <w:rFonts w:hint="eastAsia" w:ascii="仿宋" w:hAnsi="仿宋" w:eastAsia="仿宋" w:cs="Tahoma"/>
                <w:color w:val="000000"/>
                <w:kern w:val="0"/>
                <w:sz w:val="24"/>
              </w:rPr>
              <w:t>亿元</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7</w:t>
            </w:r>
          </w:p>
        </w:tc>
        <w:tc>
          <w:tcPr>
            <w:tcW w:w="2936"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629" w:hRule="atLeast"/>
          <w:jc w:val="center"/>
        </w:trPr>
        <w:tc>
          <w:tcPr>
            <w:tcW w:w="2449"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1</w:t>
            </w:r>
            <w:r>
              <w:rPr>
                <w:rFonts w:hint="eastAsia" w:ascii="仿宋" w:hAnsi="仿宋" w:eastAsia="仿宋" w:cs="Tahoma"/>
                <w:color w:val="000000"/>
                <w:kern w:val="0"/>
                <w:sz w:val="24"/>
              </w:rPr>
              <w:t>亿元≤年销售额＜</w:t>
            </w:r>
            <w:r>
              <w:rPr>
                <w:rFonts w:ascii="仿宋" w:hAnsi="仿宋" w:eastAsia="仿宋" w:cs="Tahoma"/>
                <w:color w:val="000000"/>
                <w:kern w:val="0"/>
                <w:sz w:val="24"/>
              </w:rPr>
              <w:t>5</w:t>
            </w:r>
            <w:r>
              <w:rPr>
                <w:rFonts w:hint="eastAsia" w:ascii="仿宋" w:hAnsi="仿宋" w:eastAsia="仿宋" w:cs="Tahoma"/>
                <w:color w:val="000000"/>
                <w:kern w:val="0"/>
                <w:sz w:val="24"/>
              </w:rPr>
              <w:t>亿元</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6</w:t>
            </w:r>
          </w:p>
        </w:tc>
        <w:tc>
          <w:tcPr>
            <w:tcW w:w="2936" w:type="dxa"/>
            <w:vMerge w:val="continue"/>
            <w:tcBorders>
              <w:left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629" w:hRule="atLeast"/>
          <w:jc w:val="center"/>
        </w:trPr>
        <w:tc>
          <w:tcPr>
            <w:tcW w:w="244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年销售额＜</w:t>
            </w:r>
            <w:r>
              <w:rPr>
                <w:rFonts w:ascii="仿宋" w:hAnsi="仿宋" w:eastAsia="仿宋" w:cs="Tahoma"/>
                <w:color w:val="000000"/>
                <w:kern w:val="0"/>
                <w:sz w:val="24"/>
              </w:rPr>
              <w:t>1</w:t>
            </w:r>
            <w:r>
              <w:rPr>
                <w:rFonts w:hint="eastAsia" w:ascii="仿宋" w:hAnsi="仿宋" w:eastAsia="仿宋" w:cs="Tahoma"/>
                <w:color w:val="000000"/>
                <w:kern w:val="0"/>
                <w:sz w:val="24"/>
              </w:rPr>
              <w:t>亿元</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5</w:t>
            </w:r>
          </w:p>
        </w:tc>
        <w:tc>
          <w:tcPr>
            <w:tcW w:w="293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476" w:hRule="atLeast"/>
          <w:jc w:val="center"/>
        </w:trPr>
        <w:tc>
          <w:tcPr>
            <w:tcW w:w="244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资质认证</w:t>
            </w:r>
            <w:r>
              <w:rPr>
                <w:rFonts w:ascii="仿宋" w:hAnsi="仿宋" w:eastAsia="仿宋" w:cs="Tahoma"/>
                <w:color w:val="000000"/>
                <w:kern w:val="0"/>
                <w:sz w:val="24"/>
              </w:rPr>
              <w:t>15</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jc w:val="left"/>
              <w:rPr>
                <w:rFonts w:ascii="仿宋" w:hAnsi="仿宋" w:eastAsia="仿宋" w:cs="Tahoma"/>
                <w:color w:val="000000"/>
                <w:kern w:val="0"/>
                <w:sz w:val="24"/>
              </w:rPr>
            </w:pPr>
            <w:r>
              <w:rPr>
                <w:rFonts w:hint="eastAsia" w:ascii="仿宋" w:hAnsi="仿宋" w:eastAsia="仿宋" w:cs="Tahoma"/>
                <w:color w:val="000000"/>
                <w:kern w:val="0"/>
                <w:sz w:val="24"/>
              </w:rPr>
              <w:t>通过</w:t>
            </w:r>
            <w:r>
              <w:rPr>
                <w:rFonts w:ascii="仿宋" w:hAnsi="仿宋" w:eastAsia="仿宋" w:cs="Tahoma"/>
                <w:color w:val="000000"/>
                <w:kern w:val="0"/>
                <w:sz w:val="24"/>
              </w:rPr>
              <w:t>GMP(2010</w:t>
            </w:r>
            <w:r>
              <w:rPr>
                <w:rFonts w:hint="eastAsia" w:ascii="仿宋" w:hAnsi="仿宋" w:eastAsia="仿宋" w:cs="Tahoma"/>
                <w:color w:val="000000"/>
                <w:kern w:val="0"/>
                <w:sz w:val="24"/>
              </w:rPr>
              <w:t>年修订</w:t>
            </w:r>
            <w:r>
              <w:rPr>
                <w:rFonts w:ascii="仿宋" w:hAnsi="仿宋" w:eastAsia="仿宋" w:cs="Tahoma"/>
                <w:color w:val="000000"/>
                <w:kern w:val="0"/>
                <w:sz w:val="24"/>
              </w:rPr>
              <w:t>)</w:t>
            </w:r>
            <w:r>
              <w:rPr>
                <w:rFonts w:hint="eastAsia" w:ascii="仿宋" w:hAnsi="仿宋" w:eastAsia="仿宋" w:cs="Tahoma"/>
                <w:color w:val="000000"/>
                <w:kern w:val="0"/>
                <w:sz w:val="24"/>
              </w:rPr>
              <w:t>认证</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15</w:t>
            </w:r>
          </w:p>
        </w:tc>
        <w:tc>
          <w:tcPr>
            <w:tcW w:w="2936" w:type="dxa"/>
            <w:vMerge w:val="restart"/>
            <w:tcBorders>
              <w:top w:val="nil"/>
              <w:left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ascii="仿宋" w:hAnsi="仿宋" w:eastAsia="仿宋" w:cs="Tahoma"/>
                <w:color w:val="000000"/>
                <w:kern w:val="0"/>
                <w:sz w:val="24"/>
              </w:rPr>
              <w:t>2010</w:t>
            </w:r>
            <w:r>
              <w:rPr>
                <w:rFonts w:hint="eastAsia" w:ascii="仿宋" w:hAnsi="仿宋" w:eastAsia="仿宋" w:cs="Tahoma"/>
                <w:color w:val="000000"/>
                <w:kern w:val="0"/>
                <w:sz w:val="24"/>
              </w:rPr>
              <w:t>年版</w:t>
            </w:r>
            <w:r>
              <w:rPr>
                <w:rFonts w:ascii="仿宋" w:hAnsi="仿宋" w:eastAsia="仿宋" w:cs="Tahoma"/>
                <w:color w:val="000000"/>
                <w:kern w:val="0"/>
                <w:sz w:val="24"/>
              </w:rPr>
              <w:t>GMP</w:t>
            </w:r>
            <w:r>
              <w:rPr>
                <w:rFonts w:hint="eastAsia" w:ascii="仿宋" w:hAnsi="仿宋" w:eastAsia="仿宋" w:cs="Tahoma"/>
                <w:color w:val="000000"/>
                <w:kern w:val="0"/>
                <w:sz w:val="24"/>
              </w:rPr>
              <w:t>证书为依据，境外企业赋</w:t>
            </w:r>
            <w:r>
              <w:rPr>
                <w:rFonts w:ascii="仿宋" w:hAnsi="仿宋" w:eastAsia="仿宋" w:cs="Tahoma"/>
                <w:color w:val="000000"/>
                <w:kern w:val="0"/>
                <w:sz w:val="24"/>
              </w:rPr>
              <w:t>15</w:t>
            </w:r>
            <w:r>
              <w:rPr>
                <w:rFonts w:hint="eastAsia" w:ascii="仿宋" w:hAnsi="仿宋" w:eastAsia="仿宋" w:cs="Tahoma"/>
                <w:color w:val="000000"/>
                <w:kern w:val="0"/>
                <w:sz w:val="24"/>
              </w:rPr>
              <w:t>分。</w:t>
            </w:r>
          </w:p>
          <w:p>
            <w:pPr>
              <w:jc w:val="left"/>
              <w:rPr>
                <w:rFonts w:ascii="仿宋" w:hAnsi="仿宋" w:eastAsia="仿宋" w:cs="Tahoma"/>
                <w:color w:val="000000"/>
                <w:kern w:val="0"/>
                <w:sz w:val="24"/>
              </w:rPr>
            </w:pPr>
            <w:r>
              <w:rPr>
                <w:rFonts w:hint="eastAsia" w:ascii="仿宋" w:hAnsi="仿宋" w:eastAsia="仿宋" w:cs="Tahoma"/>
                <w:color w:val="000000"/>
                <w:kern w:val="0"/>
                <w:sz w:val="24"/>
              </w:rPr>
              <w:t>委托加工批件和产品说明书为依据。</w:t>
            </w:r>
          </w:p>
        </w:tc>
      </w:tr>
      <w:tr>
        <w:tblPrEx>
          <w:tblLayout w:type="fixed"/>
          <w:tblCellMar>
            <w:top w:w="0" w:type="dxa"/>
            <w:left w:w="108" w:type="dxa"/>
            <w:bottom w:w="0" w:type="dxa"/>
            <w:right w:w="108" w:type="dxa"/>
          </w:tblCellMar>
        </w:tblPrEx>
        <w:trPr>
          <w:trHeight w:val="476" w:hRule="atLeast"/>
          <w:jc w:val="center"/>
        </w:trPr>
        <w:tc>
          <w:tcPr>
            <w:tcW w:w="2449"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jc w:val="left"/>
              <w:rPr>
                <w:rFonts w:ascii="仿宋" w:hAnsi="仿宋" w:eastAsia="仿宋" w:cs="Tahoma"/>
                <w:color w:val="000000"/>
                <w:kern w:val="0"/>
                <w:sz w:val="24"/>
              </w:rPr>
            </w:pPr>
            <w:r>
              <w:rPr>
                <w:rFonts w:hint="eastAsia" w:ascii="仿宋" w:hAnsi="仿宋" w:eastAsia="仿宋" w:cs="Tahoma"/>
                <w:color w:val="000000"/>
                <w:kern w:val="0"/>
                <w:sz w:val="24"/>
              </w:rPr>
              <w:t>委托加工</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944" w:hRule="atLeast"/>
          <w:jc w:val="center"/>
        </w:trPr>
        <w:tc>
          <w:tcPr>
            <w:tcW w:w="24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药品质量抽验抽查情况</w:t>
            </w:r>
            <w:r>
              <w:rPr>
                <w:rFonts w:ascii="仿宋" w:hAnsi="仿宋" w:eastAsia="仿宋" w:cs="Tahoma"/>
                <w:color w:val="000000"/>
                <w:kern w:val="0"/>
                <w:sz w:val="24"/>
              </w:rPr>
              <w:t>10</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kern w:val="0"/>
                <w:sz w:val="24"/>
              </w:rPr>
            </w:pPr>
            <w:r>
              <w:rPr>
                <w:rFonts w:hint="eastAsia" w:ascii="仿宋" w:hAnsi="仿宋" w:eastAsia="仿宋" w:cs="Tahoma"/>
                <w:kern w:val="0"/>
                <w:sz w:val="24"/>
              </w:rPr>
              <w:t>投标产品抽检记录全部合格</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10</w:t>
            </w:r>
          </w:p>
        </w:tc>
        <w:tc>
          <w:tcPr>
            <w:tcW w:w="2936"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kern w:val="0"/>
                <w:sz w:val="24"/>
              </w:rPr>
              <w:t>在经营使用环节抽样检验不符合标准规定的，每批次扣</w:t>
            </w:r>
            <w:r>
              <w:rPr>
                <w:rFonts w:ascii="仿宋" w:hAnsi="仿宋" w:eastAsia="仿宋" w:cs="Tahoma"/>
                <w:kern w:val="0"/>
                <w:sz w:val="24"/>
              </w:rPr>
              <w:t>1</w:t>
            </w:r>
            <w:r>
              <w:rPr>
                <w:rFonts w:hint="eastAsia" w:ascii="仿宋" w:hAnsi="仿宋" w:eastAsia="仿宋" w:cs="Tahoma"/>
                <w:kern w:val="0"/>
                <w:sz w:val="24"/>
              </w:rPr>
              <w:t>分，得分最低为</w:t>
            </w:r>
            <w:r>
              <w:rPr>
                <w:rFonts w:ascii="仿宋" w:hAnsi="仿宋" w:eastAsia="仿宋" w:cs="Tahoma"/>
                <w:kern w:val="0"/>
                <w:sz w:val="24"/>
              </w:rPr>
              <w:t>0</w:t>
            </w:r>
            <w:r>
              <w:rPr>
                <w:rFonts w:hint="eastAsia" w:ascii="仿宋" w:hAnsi="仿宋" w:eastAsia="仿宋" w:cs="Tahoma"/>
                <w:kern w:val="0"/>
                <w:sz w:val="24"/>
              </w:rPr>
              <w:t>分。以</w:t>
            </w:r>
            <w:r>
              <w:rPr>
                <w:rFonts w:ascii="仿宋" w:hAnsi="仿宋" w:eastAsia="仿宋" w:cs="Tahoma"/>
                <w:kern w:val="0"/>
                <w:sz w:val="24"/>
              </w:rPr>
              <w:t>2014</w:t>
            </w:r>
            <w:r>
              <w:rPr>
                <w:rFonts w:hint="eastAsia" w:ascii="仿宋" w:hAnsi="仿宋" w:eastAsia="仿宋" w:cs="Tahoma"/>
                <w:kern w:val="0"/>
                <w:sz w:val="24"/>
              </w:rPr>
              <w:t>年以来国家及省药品质量公告为依据。</w:t>
            </w:r>
          </w:p>
        </w:tc>
      </w:tr>
      <w:tr>
        <w:tblPrEx>
          <w:tblLayout w:type="fixed"/>
          <w:tblCellMar>
            <w:top w:w="0" w:type="dxa"/>
            <w:left w:w="108" w:type="dxa"/>
            <w:bottom w:w="0" w:type="dxa"/>
            <w:right w:w="108" w:type="dxa"/>
          </w:tblCellMar>
        </w:tblPrEx>
        <w:trPr>
          <w:trHeight w:val="67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kern w:val="0"/>
                <w:sz w:val="24"/>
              </w:rPr>
            </w:pPr>
            <w:r>
              <w:rPr>
                <w:rFonts w:hint="eastAsia" w:ascii="仿宋" w:hAnsi="仿宋" w:eastAsia="仿宋" w:cs="Tahoma"/>
                <w:kern w:val="0"/>
                <w:sz w:val="24"/>
              </w:rPr>
              <w:t>投标产品生产环节抽检有一个批次不合格</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0</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配送能力</w:t>
            </w:r>
            <w:r>
              <w:rPr>
                <w:rFonts w:ascii="仿宋" w:hAnsi="仿宋" w:eastAsia="仿宋" w:cs="Tahoma"/>
                <w:color w:val="000000"/>
                <w:kern w:val="0"/>
                <w:sz w:val="24"/>
              </w:rPr>
              <w:t>20</w:t>
            </w:r>
            <w:r>
              <w:rPr>
                <w:rFonts w:hint="eastAsia" w:ascii="仿宋" w:hAnsi="仿宋" w:eastAsia="仿宋" w:cs="Tahoma"/>
                <w:color w:val="000000"/>
                <w:kern w:val="0"/>
                <w:sz w:val="24"/>
              </w:rPr>
              <w:t>分</w:t>
            </w:r>
          </w:p>
        </w:tc>
        <w:tc>
          <w:tcPr>
            <w:tcW w:w="2506" w:type="dxa"/>
            <w:tcBorders>
              <w:top w:val="single" w:color="auto" w:sz="4" w:space="0"/>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hint="eastAsia" w:ascii="仿宋" w:hAnsi="仿宋" w:eastAsia="仿宋" w:cs="Tahoma"/>
                <w:color w:val="000000"/>
                <w:kern w:val="0"/>
                <w:sz w:val="24"/>
              </w:rPr>
              <w:t>产品到货率≥</w:t>
            </w:r>
            <w:r>
              <w:rPr>
                <w:rFonts w:ascii="仿宋" w:hAnsi="仿宋" w:eastAsia="仿宋" w:cs="Tahoma"/>
                <w:color w:val="000000"/>
                <w:kern w:val="0"/>
                <w:sz w:val="24"/>
              </w:rPr>
              <w:t>90%</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20</w:t>
            </w:r>
          </w:p>
        </w:tc>
        <w:tc>
          <w:tcPr>
            <w:tcW w:w="293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到货金额</w:t>
            </w:r>
            <w:r>
              <w:rPr>
                <w:rFonts w:ascii="仿宋" w:hAnsi="仿宋" w:eastAsia="仿宋" w:cs="Tahoma"/>
                <w:color w:val="000000"/>
                <w:kern w:val="0"/>
                <w:sz w:val="24"/>
              </w:rPr>
              <w:t>/</w:t>
            </w:r>
            <w:r>
              <w:rPr>
                <w:rFonts w:hint="eastAsia" w:ascii="仿宋" w:hAnsi="仿宋" w:eastAsia="仿宋" w:cs="Tahoma"/>
                <w:color w:val="000000"/>
                <w:kern w:val="0"/>
                <w:sz w:val="24"/>
              </w:rPr>
              <w:t>有效订单金额</w:t>
            </w:r>
            <w:r>
              <w:rPr>
                <w:rFonts w:ascii="仿宋" w:hAnsi="仿宋" w:eastAsia="仿宋" w:cs="Tahoma"/>
                <w:color w:val="000000"/>
                <w:kern w:val="0"/>
                <w:sz w:val="24"/>
              </w:rPr>
              <w:t>(</w:t>
            </w:r>
            <w:r>
              <w:rPr>
                <w:rFonts w:hint="eastAsia" w:ascii="仿宋" w:hAnsi="仿宋" w:eastAsia="仿宋" w:cs="Tahoma"/>
                <w:color w:val="000000"/>
                <w:kern w:val="0"/>
                <w:sz w:val="24"/>
              </w:rPr>
              <w:t>以</w:t>
            </w:r>
            <w:r>
              <w:rPr>
                <w:rFonts w:ascii="仿宋" w:hAnsi="仿宋" w:eastAsia="仿宋" w:cs="Tahoma"/>
                <w:color w:val="000000"/>
                <w:kern w:val="0"/>
                <w:sz w:val="24"/>
              </w:rPr>
              <w:t>2014</w:t>
            </w:r>
            <w:r>
              <w:rPr>
                <w:rFonts w:hint="eastAsia" w:ascii="仿宋" w:hAnsi="仿宋" w:eastAsia="仿宋" w:cs="Tahoma"/>
                <w:color w:val="000000"/>
                <w:kern w:val="0"/>
                <w:sz w:val="24"/>
              </w:rPr>
              <w:t>年</w:t>
            </w:r>
            <w:r>
              <w:rPr>
                <w:rFonts w:ascii="仿宋" w:hAnsi="仿宋" w:eastAsia="仿宋" w:cs="Tahoma"/>
                <w:color w:val="000000"/>
                <w:kern w:val="0"/>
                <w:sz w:val="24"/>
              </w:rPr>
              <w:t>6</w:t>
            </w:r>
            <w:r>
              <w:rPr>
                <w:rFonts w:hint="eastAsia" w:ascii="仿宋" w:hAnsi="仿宋" w:eastAsia="仿宋" w:cs="Tahoma"/>
                <w:color w:val="000000"/>
                <w:kern w:val="0"/>
                <w:sz w:val="24"/>
              </w:rPr>
              <w:t>月</w:t>
            </w:r>
            <w:r>
              <w:rPr>
                <w:rFonts w:ascii="仿宋" w:hAnsi="仿宋" w:eastAsia="仿宋" w:cs="Tahoma"/>
                <w:color w:val="000000"/>
                <w:kern w:val="0"/>
                <w:sz w:val="24"/>
              </w:rPr>
              <w:t>1</w:t>
            </w:r>
            <w:r>
              <w:rPr>
                <w:rFonts w:hint="eastAsia" w:ascii="仿宋" w:hAnsi="仿宋" w:eastAsia="仿宋" w:cs="Tahoma"/>
                <w:color w:val="000000"/>
                <w:kern w:val="0"/>
                <w:sz w:val="24"/>
              </w:rPr>
              <w:t>日至</w:t>
            </w:r>
            <w:r>
              <w:rPr>
                <w:rFonts w:ascii="仿宋" w:hAnsi="仿宋" w:eastAsia="仿宋" w:cs="Tahoma"/>
                <w:color w:val="000000"/>
                <w:kern w:val="0"/>
                <w:sz w:val="24"/>
              </w:rPr>
              <w:t>2015</w:t>
            </w:r>
            <w:r>
              <w:rPr>
                <w:rFonts w:hint="eastAsia" w:ascii="仿宋" w:hAnsi="仿宋" w:eastAsia="仿宋" w:cs="Tahoma"/>
                <w:color w:val="000000"/>
                <w:kern w:val="0"/>
                <w:sz w:val="24"/>
              </w:rPr>
              <w:t>年</w:t>
            </w:r>
            <w:r>
              <w:rPr>
                <w:rFonts w:ascii="仿宋" w:hAnsi="仿宋" w:eastAsia="仿宋" w:cs="Tahoma"/>
                <w:color w:val="000000"/>
                <w:kern w:val="0"/>
                <w:sz w:val="24"/>
              </w:rPr>
              <w:t>5</w:t>
            </w:r>
            <w:r>
              <w:rPr>
                <w:rFonts w:hint="eastAsia" w:ascii="仿宋" w:hAnsi="仿宋" w:eastAsia="仿宋" w:cs="Tahoma"/>
                <w:color w:val="000000"/>
                <w:kern w:val="0"/>
                <w:sz w:val="24"/>
              </w:rPr>
              <w:t>月</w:t>
            </w:r>
            <w:r>
              <w:rPr>
                <w:rFonts w:ascii="仿宋" w:hAnsi="仿宋" w:eastAsia="仿宋" w:cs="Tahoma"/>
                <w:color w:val="000000"/>
                <w:kern w:val="0"/>
                <w:sz w:val="24"/>
              </w:rPr>
              <w:t>31</w:t>
            </w:r>
            <w:r>
              <w:rPr>
                <w:rFonts w:hint="eastAsia" w:ascii="仿宋" w:hAnsi="仿宋" w:eastAsia="仿宋" w:cs="Tahoma"/>
                <w:color w:val="000000"/>
                <w:kern w:val="0"/>
                <w:sz w:val="24"/>
              </w:rPr>
              <w:t>日山东省药品集中采购平台的数据为依据</w:t>
            </w:r>
            <w:r>
              <w:rPr>
                <w:rFonts w:ascii="仿宋" w:hAnsi="仿宋" w:eastAsia="仿宋" w:cs="Tahoma"/>
                <w:color w:val="000000"/>
                <w:kern w:val="0"/>
                <w:sz w:val="24"/>
              </w:rPr>
              <w:t>) ,</w:t>
            </w:r>
            <w:r>
              <w:rPr>
                <w:rFonts w:hint="eastAsia" w:ascii="仿宋" w:hAnsi="仿宋" w:eastAsia="仿宋" w:cs="Tahoma"/>
                <w:color w:val="000000"/>
                <w:kern w:val="0"/>
                <w:sz w:val="24"/>
              </w:rPr>
              <w:t>无订单及新投标产品赋</w:t>
            </w:r>
            <w:r>
              <w:rPr>
                <w:rFonts w:ascii="仿宋" w:hAnsi="仿宋" w:eastAsia="仿宋" w:cs="Tahoma"/>
                <w:color w:val="000000"/>
                <w:kern w:val="0"/>
                <w:sz w:val="24"/>
              </w:rPr>
              <w:t>8</w:t>
            </w:r>
            <w:r>
              <w:rPr>
                <w:rFonts w:hint="eastAsia" w:ascii="仿宋" w:hAnsi="仿宋" w:eastAsia="仿宋" w:cs="Tahoma"/>
                <w:color w:val="000000"/>
                <w:kern w:val="0"/>
                <w:sz w:val="24"/>
              </w:rPr>
              <w:t>分。</w:t>
            </w: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single" w:color="auto" w:sz="4" w:space="0"/>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ascii="仿宋" w:hAnsi="仿宋" w:eastAsia="仿宋" w:cs="Tahoma"/>
                <w:color w:val="000000"/>
                <w:kern w:val="0"/>
                <w:sz w:val="24"/>
              </w:rPr>
              <w:t>80%</w:t>
            </w:r>
            <w:r>
              <w:rPr>
                <w:rFonts w:hint="eastAsia" w:ascii="仿宋" w:hAnsi="仿宋" w:eastAsia="仿宋" w:cs="Tahoma"/>
                <w:color w:val="000000"/>
                <w:kern w:val="0"/>
                <w:sz w:val="24"/>
              </w:rPr>
              <w:t>≤产品到货率﹤</w:t>
            </w:r>
            <w:r>
              <w:rPr>
                <w:rFonts w:ascii="仿宋" w:hAnsi="仿宋" w:eastAsia="仿宋" w:cs="Tahoma"/>
                <w:color w:val="000000"/>
                <w:kern w:val="0"/>
                <w:sz w:val="24"/>
              </w:rPr>
              <w:t>90%</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18</w:t>
            </w:r>
          </w:p>
        </w:tc>
        <w:tc>
          <w:tcPr>
            <w:tcW w:w="2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single" w:color="auto" w:sz="4" w:space="0"/>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ascii="仿宋" w:hAnsi="仿宋" w:eastAsia="仿宋" w:cs="Tahoma"/>
                <w:color w:val="000000"/>
                <w:kern w:val="0"/>
                <w:sz w:val="24"/>
              </w:rPr>
              <w:t>70%</w:t>
            </w:r>
            <w:r>
              <w:rPr>
                <w:rFonts w:hint="eastAsia" w:ascii="仿宋" w:hAnsi="仿宋" w:eastAsia="仿宋" w:cs="Tahoma"/>
                <w:color w:val="000000"/>
                <w:kern w:val="0"/>
                <w:sz w:val="24"/>
              </w:rPr>
              <w:t>≤产品到货率﹤</w:t>
            </w:r>
            <w:r>
              <w:rPr>
                <w:rFonts w:ascii="仿宋" w:hAnsi="仿宋" w:eastAsia="仿宋" w:cs="Tahoma"/>
                <w:color w:val="000000"/>
                <w:kern w:val="0"/>
                <w:sz w:val="24"/>
              </w:rPr>
              <w:t xml:space="preserve">80% </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15</w:t>
            </w:r>
          </w:p>
        </w:tc>
        <w:tc>
          <w:tcPr>
            <w:tcW w:w="2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ascii="仿宋" w:hAnsi="仿宋" w:eastAsia="仿宋" w:cs="Tahoma"/>
                <w:color w:val="000000"/>
                <w:kern w:val="0"/>
                <w:sz w:val="24"/>
              </w:rPr>
              <w:t>60%</w:t>
            </w:r>
            <w:r>
              <w:rPr>
                <w:rFonts w:hint="eastAsia" w:ascii="仿宋" w:hAnsi="仿宋" w:eastAsia="仿宋" w:cs="Tahoma"/>
                <w:color w:val="000000"/>
                <w:kern w:val="0"/>
                <w:sz w:val="24"/>
              </w:rPr>
              <w:t>≤产品到货率﹤</w:t>
            </w:r>
            <w:r>
              <w:rPr>
                <w:rFonts w:ascii="仿宋" w:hAnsi="仿宋" w:eastAsia="仿宋" w:cs="Tahoma"/>
                <w:color w:val="000000"/>
                <w:kern w:val="0"/>
                <w:sz w:val="24"/>
              </w:rPr>
              <w:t>70%</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12</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ascii="仿宋" w:hAnsi="仿宋" w:eastAsia="仿宋" w:cs="Tahoma"/>
                <w:color w:val="000000"/>
                <w:kern w:val="0"/>
                <w:sz w:val="24"/>
              </w:rPr>
              <w:t>50%</w:t>
            </w:r>
            <w:r>
              <w:rPr>
                <w:rFonts w:hint="eastAsia" w:ascii="仿宋" w:hAnsi="仿宋" w:eastAsia="仿宋" w:cs="Tahoma"/>
                <w:color w:val="000000"/>
                <w:kern w:val="0"/>
                <w:sz w:val="24"/>
              </w:rPr>
              <w:t>≤产品到货率﹤</w:t>
            </w:r>
            <w:r>
              <w:rPr>
                <w:rFonts w:ascii="仿宋" w:hAnsi="仿宋" w:eastAsia="仿宋" w:cs="Tahoma"/>
                <w:color w:val="000000"/>
                <w:kern w:val="0"/>
                <w:sz w:val="24"/>
              </w:rPr>
              <w:t>60%</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hint="eastAsia" w:ascii="仿宋" w:hAnsi="仿宋" w:eastAsia="仿宋" w:cs="Tahoma"/>
                <w:color w:val="000000"/>
                <w:kern w:val="0"/>
                <w:sz w:val="24"/>
              </w:rPr>
              <w:t>产品到货率﹤</w:t>
            </w:r>
            <w:r>
              <w:rPr>
                <w:rFonts w:ascii="仿宋" w:hAnsi="仿宋" w:eastAsia="仿宋" w:cs="Tahoma"/>
                <w:color w:val="000000"/>
                <w:kern w:val="0"/>
                <w:sz w:val="24"/>
              </w:rPr>
              <w:t>50%</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5</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产品原料来源</w:t>
            </w:r>
            <w:r>
              <w:rPr>
                <w:rFonts w:ascii="仿宋" w:hAnsi="仿宋" w:eastAsia="仿宋" w:cs="Tahoma"/>
                <w:color w:val="000000"/>
                <w:kern w:val="0"/>
                <w:sz w:val="24"/>
              </w:rPr>
              <w:t>10</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原料来自或通过美国、欧盟（英、德、法）、澳大利亚或日本认证。</w:t>
            </w:r>
            <w:r>
              <w:rPr>
                <w:rFonts w:ascii="仿宋" w:hAnsi="仿宋" w:eastAsia="仿宋" w:cs="Tahoma"/>
                <w:color w:val="000000"/>
                <w:kern w:val="0"/>
                <w:sz w:val="24"/>
              </w:rPr>
              <w:t xml:space="preserve"> </w:t>
            </w:r>
            <w:r>
              <w:rPr>
                <w:rFonts w:hint="eastAsia" w:ascii="仿宋" w:hAnsi="仿宋" w:eastAsia="仿宋" w:cs="Tahoma"/>
                <w:color w:val="000000"/>
                <w:kern w:val="0"/>
                <w:sz w:val="24"/>
              </w:rPr>
              <w:t>中药材通过</w:t>
            </w:r>
            <w:r>
              <w:rPr>
                <w:rFonts w:ascii="仿宋" w:hAnsi="仿宋" w:eastAsia="仿宋" w:cs="Tahoma"/>
                <w:color w:val="000000"/>
                <w:kern w:val="0"/>
                <w:sz w:val="24"/>
              </w:rPr>
              <w:t>GAP</w:t>
            </w:r>
            <w:r>
              <w:rPr>
                <w:rFonts w:hint="eastAsia" w:ascii="仿宋" w:hAnsi="仿宋" w:eastAsia="仿宋" w:cs="Tahoma"/>
                <w:color w:val="000000"/>
                <w:kern w:val="0"/>
                <w:sz w:val="24"/>
              </w:rPr>
              <w:t>认证</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10</w:t>
            </w:r>
          </w:p>
        </w:tc>
        <w:tc>
          <w:tcPr>
            <w:tcW w:w="2936"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以药品原料药批件和工业和信息化部《</w:t>
            </w:r>
            <w:r>
              <w:rPr>
                <w:rFonts w:ascii="仿宋" w:hAnsi="仿宋" w:eastAsia="仿宋" w:cs="Tahoma"/>
                <w:color w:val="000000"/>
                <w:kern w:val="0"/>
                <w:sz w:val="24"/>
              </w:rPr>
              <w:t>2014</w:t>
            </w:r>
            <w:r>
              <w:rPr>
                <w:rFonts w:hint="eastAsia" w:ascii="仿宋" w:hAnsi="仿宋" w:eastAsia="仿宋" w:cs="Tahoma"/>
                <w:color w:val="000000"/>
                <w:kern w:val="0"/>
                <w:sz w:val="24"/>
              </w:rPr>
              <w:t>中国医药统计年报》公布的集团组成为依据。</w:t>
            </w: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来自本生产企业</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来自本企业</w:t>
            </w:r>
            <w:r>
              <w:rPr>
                <w:rFonts w:ascii="仿宋" w:hAnsi="仿宋" w:eastAsia="仿宋" w:cs="Tahoma"/>
                <w:color w:val="000000"/>
                <w:kern w:val="0"/>
                <w:sz w:val="24"/>
              </w:rPr>
              <w:t>(</w:t>
            </w:r>
            <w:r>
              <w:rPr>
                <w:rFonts w:hint="eastAsia" w:ascii="仿宋" w:hAnsi="仿宋" w:eastAsia="仿宋" w:cs="Tahoma"/>
                <w:color w:val="000000"/>
                <w:kern w:val="0"/>
                <w:sz w:val="24"/>
              </w:rPr>
              <w:t>集团</w:t>
            </w:r>
            <w:r>
              <w:rPr>
                <w:rFonts w:ascii="仿宋" w:hAnsi="仿宋" w:eastAsia="仿宋" w:cs="Tahoma"/>
                <w:color w:val="000000"/>
                <w:kern w:val="0"/>
                <w:sz w:val="24"/>
              </w:rPr>
              <w:t>)</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5</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705" w:hRule="atLeast"/>
          <w:jc w:val="center"/>
        </w:trPr>
        <w:tc>
          <w:tcPr>
            <w:tcW w:w="24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电子监管</w:t>
            </w:r>
            <w:r>
              <w:rPr>
                <w:rFonts w:ascii="仿宋" w:hAnsi="仿宋" w:eastAsia="仿宋" w:cs="Tahoma"/>
                <w:color w:val="000000"/>
                <w:kern w:val="0"/>
                <w:sz w:val="24"/>
              </w:rPr>
              <w:t>8</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hint="eastAsia" w:ascii="仿宋" w:hAnsi="仿宋" w:eastAsia="仿宋" w:cs="Tahoma"/>
                <w:color w:val="000000"/>
                <w:kern w:val="0"/>
                <w:sz w:val="24"/>
              </w:rPr>
              <w:t>产品纳入“中国药品电子监管网”</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以“中国药品电子监管网”截图为依据，应体现企业名称、产品信息，国家基本药物无需提供。</w:t>
            </w:r>
          </w:p>
        </w:tc>
      </w:tr>
      <w:tr>
        <w:tblPrEx>
          <w:tblLayout w:type="fixed"/>
          <w:tblCellMar>
            <w:top w:w="0" w:type="dxa"/>
            <w:left w:w="108" w:type="dxa"/>
            <w:bottom w:w="0" w:type="dxa"/>
            <w:right w:w="108" w:type="dxa"/>
          </w:tblCellMar>
        </w:tblPrEx>
        <w:trPr>
          <w:trHeight w:val="345" w:hRule="atLeast"/>
          <w:jc w:val="center"/>
        </w:trPr>
        <w:tc>
          <w:tcPr>
            <w:tcW w:w="2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hint="eastAsia" w:ascii="仿宋" w:hAnsi="仿宋" w:eastAsia="仿宋" w:cs="Tahoma"/>
                <w:color w:val="000000"/>
                <w:kern w:val="0"/>
                <w:sz w:val="24"/>
              </w:rPr>
              <w:t>产品未入网、未赋码</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0</w:t>
            </w:r>
          </w:p>
        </w:tc>
        <w:tc>
          <w:tcPr>
            <w:tcW w:w="2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r>
        <w:tblPrEx>
          <w:tblLayout w:type="fixed"/>
          <w:tblCellMar>
            <w:top w:w="0" w:type="dxa"/>
            <w:left w:w="108" w:type="dxa"/>
            <w:bottom w:w="0" w:type="dxa"/>
            <w:right w:w="108" w:type="dxa"/>
          </w:tblCellMar>
        </w:tblPrEx>
        <w:trPr>
          <w:trHeight w:val="818" w:hRule="atLeast"/>
          <w:jc w:val="center"/>
        </w:trPr>
        <w:tc>
          <w:tcPr>
            <w:tcW w:w="244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产品质量管理及创新能力</w:t>
            </w:r>
            <w:r>
              <w:rPr>
                <w:rFonts w:ascii="仿宋" w:hAnsi="仿宋" w:eastAsia="仿宋" w:cs="Tahoma"/>
                <w:color w:val="000000"/>
                <w:kern w:val="0"/>
                <w:sz w:val="24"/>
              </w:rPr>
              <w:t>10</w:t>
            </w:r>
            <w:r>
              <w:rPr>
                <w:rFonts w:hint="eastAsia" w:ascii="仿宋" w:hAnsi="仿宋" w:eastAsia="仿宋" w:cs="Tahoma"/>
                <w:color w:val="000000"/>
                <w:kern w:val="0"/>
                <w:sz w:val="24"/>
              </w:rPr>
              <w:t>分</w:t>
            </w: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hint="eastAsia" w:ascii="仿宋" w:hAnsi="仿宋" w:eastAsia="仿宋" w:cs="Tahoma"/>
                <w:color w:val="000000"/>
                <w:kern w:val="0"/>
                <w:sz w:val="24"/>
              </w:rPr>
              <w:t>省长（省政府）质量奖</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10</w:t>
            </w:r>
          </w:p>
        </w:tc>
        <w:tc>
          <w:tcPr>
            <w:tcW w:w="293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highlight w:val="yellow"/>
              </w:rPr>
            </w:pPr>
            <w:r>
              <w:rPr>
                <w:rFonts w:hint="eastAsia" w:ascii="仿宋" w:hAnsi="仿宋" w:eastAsia="仿宋" w:cs="Tahoma"/>
                <w:color w:val="000000"/>
                <w:kern w:val="0"/>
                <w:sz w:val="24"/>
              </w:rPr>
              <w:t>以省级人民政府颁发给生产企业的质量奖或质量管理奖证书为依据。</w:t>
            </w:r>
          </w:p>
        </w:tc>
      </w:tr>
      <w:tr>
        <w:tblPrEx>
          <w:tblLayout w:type="fixed"/>
          <w:tblCellMar>
            <w:top w:w="0" w:type="dxa"/>
            <w:left w:w="108" w:type="dxa"/>
            <w:bottom w:w="0" w:type="dxa"/>
            <w:right w:w="108" w:type="dxa"/>
          </w:tblCellMar>
        </w:tblPrEx>
        <w:trPr>
          <w:trHeight w:val="818" w:hRule="atLeast"/>
          <w:jc w:val="center"/>
        </w:trPr>
        <w:tc>
          <w:tcPr>
            <w:tcW w:w="2449"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hint="eastAsia" w:ascii="仿宋" w:hAnsi="仿宋" w:eastAsia="仿宋" w:cs="Tahoma"/>
                <w:color w:val="000000"/>
                <w:kern w:val="0"/>
                <w:sz w:val="24"/>
              </w:rPr>
              <w:t>省科学技术一等奖</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8</w:t>
            </w:r>
          </w:p>
        </w:tc>
        <w:tc>
          <w:tcPr>
            <w:tcW w:w="293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以省级人民政府颁发给生产企业的奖项证书为依据。</w:t>
            </w:r>
          </w:p>
        </w:tc>
      </w:tr>
      <w:tr>
        <w:tblPrEx>
          <w:tblLayout w:type="fixed"/>
          <w:tblCellMar>
            <w:top w:w="0" w:type="dxa"/>
            <w:left w:w="108" w:type="dxa"/>
            <w:bottom w:w="0" w:type="dxa"/>
            <w:right w:w="108" w:type="dxa"/>
          </w:tblCellMar>
        </w:tblPrEx>
        <w:trPr>
          <w:trHeight w:val="818" w:hRule="atLeast"/>
          <w:jc w:val="center"/>
        </w:trPr>
        <w:tc>
          <w:tcPr>
            <w:tcW w:w="2449"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Tahoma"/>
                <w:color w:val="000000"/>
                <w:kern w:val="0"/>
                <w:sz w:val="24"/>
              </w:rPr>
            </w:pPr>
          </w:p>
        </w:tc>
        <w:tc>
          <w:tcPr>
            <w:tcW w:w="2506" w:type="dxa"/>
            <w:tcBorders>
              <w:top w:val="nil"/>
              <w:left w:val="nil"/>
              <w:bottom w:val="single" w:color="auto" w:sz="4" w:space="0"/>
              <w:right w:val="single" w:color="auto" w:sz="4" w:space="0"/>
            </w:tcBorders>
            <w:vAlign w:val="center"/>
          </w:tcPr>
          <w:p>
            <w:pPr>
              <w:widowControl/>
              <w:rPr>
                <w:rFonts w:ascii="仿宋" w:hAnsi="仿宋" w:eastAsia="仿宋" w:cs="Tahoma"/>
                <w:color w:val="000000"/>
                <w:kern w:val="0"/>
                <w:sz w:val="24"/>
              </w:rPr>
            </w:pPr>
            <w:r>
              <w:rPr>
                <w:rFonts w:ascii="仿宋" w:hAnsi="仿宋" w:eastAsia="仿宋" w:cs="Tahoma"/>
                <w:color w:val="000000"/>
                <w:kern w:val="0"/>
                <w:sz w:val="24"/>
              </w:rPr>
              <w:t>2013</w:t>
            </w:r>
            <w:r>
              <w:rPr>
                <w:rFonts w:hint="eastAsia" w:ascii="仿宋" w:hAnsi="仿宋" w:eastAsia="仿宋" w:cs="Tahoma"/>
                <w:color w:val="000000"/>
                <w:kern w:val="0"/>
                <w:sz w:val="24"/>
              </w:rPr>
              <w:t>以来中国医药研发产品线最佳工业企业产品</w:t>
            </w:r>
          </w:p>
        </w:tc>
        <w:tc>
          <w:tcPr>
            <w:tcW w:w="969" w:type="dxa"/>
            <w:tcBorders>
              <w:top w:val="nil"/>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5</w:t>
            </w:r>
          </w:p>
        </w:tc>
        <w:tc>
          <w:tcPr>
            <w:tcW w:w="2936" w:type="dxa"/>
            <w:tcBorders>
              <w:top w:val="nil"/>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以中国医药工业信息中心公布结果为依据。</w:t>
            </w:r>
          </w:p>
        </w:tc>
      </w:tr>
      <w:tr>
        <w:tblPrEx>
          <w:tblLayout w:type="fixed"/>
          <w:tblCellMar>
            <w:top w:w="0" w:type="dxa"/>
            <w:left w:w="108" w:type="dxa"/>
            <w:bottom w:w="0" w:type="dxa"/>
            <w:right w:w="108" w:type="dxa"/>
          </w:tblCellMar>
        </w:tblPrEx>
        <w:trPr>
          <w:trHeight w:val="844" w:hRule="atLeast"/>
          <w:jc w:val="center"/>
        </w:trPr>
        <w:tc>
          <w:tcPr>
            <w:tcW w:w="2449" w:type="dxa"/>
            <w:vMerge w:val="restart"/>
            <w:tcBorders>
              <w:top w:val="single" w:color="auto" w:sz="4" w:space="0"/>
              <w:left w:val="single" w:color="auto" w:sz="4" w:space="0"/>
              <w:right w:val="single" w:color="auto" w:sz="4" w:space="0"/>
            </w:tcBorders>
            <w:vAlign w:val="center"/>
          </w:tcPr>
          <w:p>
            <w:pPr>
              <w:widowControl/>
              <w:adjustRightInd w:val="0"/>
              <w:snapToGrid w:val="0"/>
              <w:spacing w:line="260" w:lineRule="exact"/>
              <w:jc w:val="left"/>
              <w:rPr>
                <w:rFonts w:ascii="仿宋_GB2312" w:hAnsi="仿宋" w:cs="宋体"/>
                <w:snapToGrid w:val="0"/>
                <w:color w:val="000000"/>
                <w:kern w:val="0"/>
                <w:sz w:val="24"/>
              </w:rPr>
            </w:pPr>
            <w:r>
              <w:rPr>
                <w:rFonts w:hint="eastAsia" w:ascii="仿宋" w:hAnsi="仿宋" w:eastAsia="仿宋" w:cs="Tahoma"/>
                <w:color w:val="000000"/>
                <w:kern w:val="0"/>
                <w:sz w:val="24"/>
              </w:rPr>
              <w:t>商业贿赂不良记录</w:t>
            </w:r>
            <w:r>
              <w:rPr>
                <w:rFonts w:ascii="仿宋" w:hAnsi="仿宋" w:eastAsia="仿宋" w:cs="Tahoma"/>
                <w:color w:val="000000"/>
                <w:kern w:val="0"/>
                <w:sz w:val="24"/>
              </w:rPr>
              <w:t>7</w:t>
            </w:r>
            <w:r>
              <w:rPr>
                <w:rFonts w:hint="eastAsia" w:ascii="仿宋" w:hAnsi="仿宋" w:eastAsia="仿宋" w:cs="Tahoma"/>
                <w:color w:val="000000"/>
                <w:kern w:val="0"/>
                <w:sz w:val="24"/>
              </w:rPr>
              <w:t>分</w:t>
            </w:r>
          </w:p>
        </w:tc>
        <w:tc>
          <w:tcPr>
            <w:tcW w:w="2506" w:type="dxa"/>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 w:hAnsi="仿宋" w:eastAsia="仿宋" w:cs="Tahoma"/>
                <w:color w:val="000000"/>
                <w:kern w:val="0"/>
                <w:sz w:val="24"/>
              </w:rPr>
            </w:pPr>
            <w:r>
              <w:rPr>
                <w:rFonts w:hint="eastAsia" w:ascii="仿宋" w:hAnsi="仿宋" w:eastAsia="仿宋" w:cs="Tahoma"/>
                <w:color w:val="000000"/>
                <w:kern w:val="0"/>
                <w:sz w:val="24"/>
              </w:rPr>
              <w:t>企业在全国均无不良记录</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7</w:t>
            </w:r>
          </w:p>
        </w:tc>
        <w:tc>
          <w:tcPr>
            <w:tcW w:w="2936" w:type="dxa"/>
            <w:vMerge w:val="restart"/>
            <w:tcBorders>
              <w:top w:val="single" w:color="auto" w:sz="4" w:space="0"/>
              <w:left w:val="nil"/>
              <w:right w:val="single" w:color="auto" w:sz="4" w:space="0"/>
            </w:tcBorders>
            <w:vAlign w:val="center"/>
          </w:tcPr>
          <w:p>
            <w:pPr>
              <w:widowControl/>
              <w:jc w:val="left"/>
              <w:rPr>
                <w:rFonts w:ascii="仿宋" w:hAnsi="仿宋" w:eastAsia="仿宋" w:cs="Tahoma"/>
                <w:color w:val="000000"/>
                <w:kern w:val="0"/>
                <w:sz w:val="24"/>
              </w:rPr>
            </w:pPr>
            <w:r>
              <w:rPr>
                <w:rFonts w:hint="eastAsia" w:ascii="仿宋" w:hAnsi="仿宋" w:eastAsia="仿宋" w:cs="Tahoma"/>
                <w:color w:val="000000"/>
                <w:kern w:val="0"/>
                <w:sz w:val="24"/>
              </w:rPr>
              <w:t>以国家卫生计生委政务网站公布的商业贿赂不良记录为依据。该项针对企业所有产品赋分。</w:t>
            </w:r>
          </w:p>
        </w:tc>
      </w:tr>
      <w:tr>
        <w:tblPrEx>
          <w:tblLayout w:type="fixed"/>
          <w:tblCellMar>
            <w:top w:w="0" w:type="dxa"/>
            <w:left w:w="108" w:type="dxa"/>
            <w:bottom w:w="0" w:type="dxa"/>
            <w:right w:w="108" w:type="dxa"/>
          </w:tblCellMar>
        </w:tblPrEx>
        <w:trPr>
          <w:trHeight w:val="904" w:hRule="atLeast"/>
          <w:jc w:val="center"/>
        </w:trPr>
        <w:tc>
          <w:tcPr>
            <w:tcW w:w="244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60" w:lineRule="exact"/>
              <w:jc w:val="left"/>
              <w:rPr>
                <w:rFonts w:ascii="仿宋" w:hAnsi="仿宋" w:eastAsia="仿宋" w:cs="Tahoma"/>
                <w:color w:val="000000"/>
                <w:kern w:val="0"/>
                <w:sz w:val="24"/>
              </w:rPr>
            </w:pPr>
          </w:p>
        </w:tc>
        <w:tc>
          <w:tcPr>
            <w:tcW w:w="2506" w:type="dxa"/>
            <w:tcBorders>
              <w:top w:val="single" w:color="auto" w:sz="4" w:space="0"/>
              <w:left w:val="nil"/>
              <w:bottom w:val="single" w:color="auto" w:sz="4" w:space="0"/>
              <w:right w:val="single" w:color="auto" w:sz="4" w:space="0"/>
            </w:tcBorders>
            <w:vAlign w:val="center"/>
          </w:tcPr>
          <w:p>
            <w:pPr>
              <w:widowControl/>
              <w:adjustRightInd w:val="0"/>
              <w:snapToGrid w:val="0"/>
              <w:spacing w:line="260" w:lineRule="exact"/>
              <w:jc w:val="left"/>
              <w:rPr>
                <w:rFonts w:ascii="仿宋" w:hAnsi="仿宋" w:eastAsia="仿宋" w:cs="Tahoma"/>
                <w:color w:val="000000"/>
                <w:kern w:val="0"/>
                <w:sz w:val="24"/>
              </w:rPr>
            </w:pPr>
            <w:r>
              <w:rPr>
                <w:rFonts w:hint="eastAsia" w:ascii="仿宋" w:hAnsi="仿宋" w:eastAsia="仿宋" w:cs="Tahoma"/>
                <w:color w:val="000000"/>
                <w:kern w:val="0"/>
                <w:sz w:val="24"/>
              </w:rPr>
              <w:t>企业在全国有一次商业贿赂不良记录的</w:t>
            </w:r>
          </w:p>
        </w:tc>
        <w:tc>
          <w:tcPr>
            <w:tcW w:w="96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ahoma"/>
                <w:color w:val="000000"/>
                <w:kern w:val="0"/>
                <w:sz w:val="24"/>
              </w:rPr>
            </w:pPr>
            <w:r>
              <w:rPr>
                <w:rFonts w:ascii="仿宋" w:hAnsi="仿宋" w:eastAsia="仿宋" w:cs="Tahoma"/>
                <w:color w:val="000000"/>
                <w:kern w:val="0"/>
                <w:sz w:val="24"/>
              </w:rPr>
              <w:t>0</w:t>
            </w:r>
          </w:p>
        </w:tc>
        <w:tc>
          <w:tcPr>
            <w:tcW w:w="2936" w:type="dxa"/>
            <w:vMerge w:val="continue"/>
            <w:tcBorders>
              <w:left w:val="nil"/>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r>
    </w:tbl>
    <w:p>
      <w:pPr>
        <w:adjustRightInd w:val="0"/>
        <w:snapToGrid w:val="0"/>
        <w:spacing w:line="580" w:lineRule="exact"/>
        <w:rPr>
          <w:rFonts w:ascii="仿宋_GB2312" w:hAnsi="仿宋"/>
          <w:snapToGrid w:val="0"/>
          <w:color w:val="000000"/>
          <w:szCs w:val="32"/>
        </w:rPr>
      </w:pPr>
    </w:p>
    <w:p>
      <w:pPr>
        <w:adjustRightInd w:val="0"/>
        <w:snapToGrid w:val="0"/>
        <w:spacing w:line="580" w:lineRule="exact"/>
        <w:rPr>
          <w:rFonts w:ascii="仿宋_GB2312" w:hAnsi="仿宋"/>
          <w:snapToGrid w:val="0"/>
          <w:color w:val="000000"/>
          <w:szCs w:val="32"/>
        </w:rPr>
      </w:pPr>
    </w:p>
    <w:p>
      <w:pPr>
        <w:widowControl/>
        <w:jc w:val="left"/>
        <w:rPr>
          <w:rFonts w:ascii="宋体" w:hAnsi="宋体" w:eastAsia="黑体" w:cs="黑体"/>
          <w:kern w:val="0"/>
        </w:rPr>
      </w:pPr>
    </w:p>
    <w:p>
      <w:pPr>
        <w:widowControl/>
        <w:jc w:val="left"/>
        <w:rPr>
          <w:rFonts w:ascii="宋体" w:hAnsi="宋体" w:eastAsia="黑体" w:cs="黑体"/>
          <w:kern w:val="0"/>
        </w:rPr>
      </w:pPr>
    </w:p>
    <w:p>
      <w:pPr>
        <w:widowControl/>
        <w:jc w:val="left"/>
        <w:rPr>
          <w:rFonts w:ascii="宋体" w:hAnsi="宋体" w:eastAsia="黑体" w:cs="黑体"/>
          <w:kern w:val="0"/>
        </w:rPr>
      </w:pPr>
    </w:p>
    <w:p>
      <w:pPr>
        <w:widowControl/>
        <w:jc w:val="left"/>
        <w:rPr>
          <w:rFonts w:ascii="宋体" w:hAnsi="宋体" w:eastAsia="黑体" w:cs="黑体"/>
          <w:kern w:val="0"/>
        </w:rPr>
      </w:pPr>
      <w:r>
        <w:rPr>
          <w:rFonts w:ascii="宋体" w:hAnsi="宋体" w:eastAsia="黑体" w:cs="黑体"/>
          <w:kern w:val="0"/>
        </w:rPr>
        <w:br w:type="page"/>
      </w:r>
      <w:r>
        <w:rPr>
          <w:rFonts w:hint="eastAsia" w:ascii="宋体" w:hAnsi="宋体" w:eastAsia="黑体" w:cs="黑体"/>
          <w:kern w:val="0"/>
        </w:rPr>
        <w:t>附件</w:t>
      </w:r>
      <w:r>
        <w:rPr>
          <w:rFonts w:ascii="宋体" w:hAnsi="宋体" w:eastAsia="黑体" w:cs="黑体"/>
          <w:kern w:val="0"/>
        </w:rPr>
        <w:t>4:</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美国《制药经理人》（</w:t>
      </w:r>
      <w:r>
        <w:rPr>
          <w:rFonts w:ascii="仿宋_GB2312" w:hAnsi="仿宋"/>
          <w:snapToGrid w:val="0"/>
          <w:color w:val="000000"/>
          <w:szCs w:val="32"/>
        </w:rPr>
        <w:t>Pharmaceutical Executive</w:t>
      </w:r>
      <w:r>
        <w:rPr>
          <w:rFonts w:hint="eastAsia" w:ascii="仿宋_GB2312" w:hAnsi="仿宋"/>
          <w:snapToGrid w:val="0"/>
          <w:color w:val="000000"/>
          <w:szCs w:val="32"/>
        </w:rPr>
        <w:t>）</w:t>
      </w:r>
      <w:r>
        <w:rPr>
          <w:rFonts w:ascii="仿宋_GB2312" w:hAnsi="仿宋"/>
          <w:snapToGrid w:val="0"/>
          <w:color w:val="000000"/>
          <w:szCs w:val="32"/>
        </w:rPr>
        <w:t>2014</w:t>
      </w:r>
      <w:r>
        <w:rPr>
          <w:rFonts w:hint="eastAsia" w:ascii="仿宋_GB2312" w:hAnsi="仿宋"/>
          <w:snapToGrid w:val="0"/>
          <w:color w:val="000000"/>
          <w:szCs w:val="32"/>
        </w:rPr>
        <w:t>年度排名前</w:t>
      </w:r>
      <w:r>
        <w:rPr>
          <w:rFonts w:ascii="仿宋_GB2312" w:hAnsi="仿宋"/>
          <w:snapToGrid w:val="0"/>
          <w:color w:val="000000"/>
          <w:szCs w:val="32"/>
        </w:rPr>
        <w:t>50</w:t>
      </w:r>
      <w:r>
        <w:rPr>
          <w:rFonts w:hint="eastAsia" w:ascii="仿宋_GB2312" w:hAnsi="仿宋"/>
          <w:snapToGrid w:val="0"/>
          <w:color w:val="000000"/>
          <w:szCs w:val="32"/>
        </w:rPr>
        <w:t>强企业名单：（括号内为公司总部所在地）</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诺华（瑞士）</w:t>
      </w:r>
      <w:r>
        <w:rPr>
          <w:rFonts w:ascii="仿宋_GB2312" w:hAnsi="仿宋"/>
          <w:snapToGrid w:val="0"/>
          <w:color w:val="000000"/>
          <w:szCs w:val="32"/>
        </w:rPr>
        <w:t xml:space="preserve">              </w:t>
      </w:r>
      <w:r>
        <w:rPr>
          <w:rFonts w:hint="eastAsia" w:ascii="仿宋_GB2312" w:hAnsi="仿宋"/>
          <w:snapToGrid w:val="0"/>
          <w:color w:val="000000"/>
          <w:szCs w:val="32"/>
        </w:rPr>
        <w:t>辉瑞（美国）</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罗氏（瑞士）</w:t>
      </w:r>
      <w:r>
        <w:rPr>
          <w:rFonts w:ascii="仿宋_GB2312" w:hAnsi="仿宋"/>
          <w:snapToGrid w:val="0"/>
          <w:color w:val="000000"/>
          <w:szCs w:val="32"/>
        </w:rPr>
        <w:t xml:space="preserve">              </w:t>
      </w:r>
      <w:r>
        <w:rPr>
          <w:rFonts w:hint="eastAsia" w:ascii="仿宋_GB2312" w:hAnsi="仿宋"/>
          <w:snapToGrid w:val="0"/>
          <w:color w:val="000000"/>
          <w:szCs w:val="32"/>
        </w:rPr>
        <w:t>赛诺菲（法国）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默沙东（美国）</w:t>
      </w:r>
      <w:r>
        <w:rPr>
          <w:rFonts w:ascii="仿宋_GB2312" w:hAnsi="仿宋"/>
          <w:snapToGrid w:val="0"/>
          <w:color w:val="000000"/>
          <w:szCs w:val="32"/>
        </w:rPr>
        <w:t xml:space="preserve">            </w:t>
      </w:r>
      <w:r>
        <w:rPr>
          <w:rFonts w:hint="eastAsia" w:ascii="仿宋_GB2312" w:hAnsi="仿宋"/>
          <w:snapToGrid w:val="0"/>
          <w:color w:val="000000"/>
          <w:szCs w:val="32"/>
        </w:rPr>
        <w:t>葛兰素史克（英国）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强生（美国）</w:t>
      </w:r>
      <w:r>
        <w:rPr>
          <w:rFonts w:ascii="仿宋_GB2312" w:hAnsi="仿宋"/>
          <w:snapToGrid w:val="0"/>
          <w:color w:val="000000"/>
          <w:szCs w:val="32"/>
        </w:rPr>
        <w:t xml:space="preserve">              </w:t>
      </w:r>
      <w:r>
        <w:rPr>
          <w:rFonts w:hint="eastAsia" w:ascii="仿宋_GB2312" w:hAnsi="仿宋"/>
          <w:snapToGrid w:val="0"/>
          <w:color w:val="000000"/>
          <w:szCs w:val="32"/>
        </w:rPr>
        <w:t>阿斯利康（英国）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礼来（美国）</w:t>
      </w:r>
      <w:r>
        <w:rPr>
          <w:rFonts w:ascii="仿宋_GB2312" w:hAnsi="仿宋"/>
          <w:snapToGrid w:val="0"/>
          <w:color w:val="000000"/>
          <w:szCs w:val="32"/>
        </w:rPr>
        <w:t xml:space="preserve">              </w:t>
      </w:r>
      <w:r>
        <w:rPr>
          <w:rFonts w:hint="eastAsia" w:ascii="仿宋_GB2312" w:hAnsi="仿宋"/>
          <w:snapToGrid w:val="0"/>
          <w:color w:val="000000"/>
          <w:szCs w:val="32"/>
        </w:rPr>
        <w:t>艾伯维（美国）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安进（美国）</w:t>
      </w:r>
      <w:r>
        <w:rPr>
          <w:rFonts w:ascii="仿宋_GB2312" w:hAnsi="仿宋"/>
          <w:snapToGrid w:val="0"/>
          <w:color w:val="000000"/>
          <w:szCs w:val="32"/>
        </w:rPr>
        <w:t xml:space="preserve">              </w:t>
      </w:r>
      <w:r>
        <w:rPr>
          <w:rFonts w:hint="eastAsia" w:ascii="仿宋_GB2312" w:hAnsi="仿宋"/>
          <w:snapToGrid w:val="0"/>
          <w:color w:val="000000"/>
          <w:szCs w:val="32"/>
        </w:rPr>
        <w:t>梯瓦（以色列）</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拜耳（德国）</w:t>
      </w:r>
      <w:r>
        <w:rPr>
          <w:rFonts w:ascii="仿宋_GB2312" w:hAnsi="仿宋"/>
          <w:snapToGrid w:val="0"/>
          <w:color w:val="000000"/>
          <w:szCs w:val="32"/>
        </w:rPr>
        <w:t xml:space="preserve">              </w:t>
      </w:r>
      <w:r>
        <w:rPr>
          <w:rFonts w:hint="eastAsia" w:ascii="仿宋_GB2312" w:hAnsi="仿宋"/>
          <w:snapToGrid w:val="0"/>
          <w:color w:val="000000"/>
          <w:szCs w:val="32"/>
        </w:rPr>
        <w:t>诺和诺德（丹麦）</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勃林格殷格翰（德国）</w:t>
      </w:r>
      <w:r>
        <w:rPr>
          <w:rFonts w:ascii="仿宋_GB2312" w:hAnsi="仿宋"/>
          <w:snapToGrid w:val="0"/>
          <w:color w:val="000000"/>
          <w:szCs w:val="32"/>
        </w:rPr>
        <w:t xml:space="preserve">      </w:t>
      </w:r>
      <w:r>
        <w:rPr>
          <w:rFonts w:hint="eastAsia" w:ascii="仿宋_GB2312" w:hAnsi="仿宋"/>
          <w:snapToGrid w:val="0"/>
          <w:color w:val="000000"/>
          <w:szCs w:val="32"/>
        </w:rPr>
        <w:t>武田（日本）</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百时美施贵宝（美国）</w:t>
      </w:r>
      <w:r>
        <w:rPr>
          <w:rFonts w:ascii="仿宋_GB2312" w:hAnsi="仿宋"/>
          <w:snapToGrid w:val="0"/>
          <w:color w:val="000000"/>
          <w:szCs w:val="32"/>
        </w:rPr>
        <w:t xml:space="preserve">      </w:t>
      </w:r>
      <w:r>
        <w:rPr>
          <w:rFonts w:hint="eastAsia" w:ascii="仿宋_GB2312" w:hAnsi="仿宋"/>
          <w:snapToGrid w:val="0"/>
          <w:color w:val="000000"/>
          <w:szCs w:val="32"/>
        </w:rPr>
        <w:t>吉利德（美国）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安斯泰来（日本）</w:t>
      </w:r>
      <w:r>
        <w:rPr>
          <w:rFonts w:ascii="仿宋_GB2312" w:hAnsi="仿宋"/>
          <w:snapToGrid w:val="0"/>
          <w:color w:val="000000"/>
          <w:szCs w:val="32"/>
        </w:rPr>
        <w:t xml:space="preserve">          </w:t>
      </w:r>
      <w:r>
        <w:rPr>
          <w:rFonts w:hint="eastAsia" w:ascii="仿宋_GB2312" w:hAnsi="仿宋"/>
          <w:snapToGrid w:val="0"/>
          <w:color w:val="000000"/>
          <w:szCs w:val="32"/>
        </w:rPr>
        <w:t>第一三共（日本）</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大冢控股（日本）</w:t>
      </w:r>
      <w:r>
        <w:rPr>
          <w:rFonts w:ascii="仿宋_GB2312" w:hAnsi="仿宋"/>
          <w:snapToGrid w:val="0"/>
          <w:color w:val="000000"/>
          <w:szCs w:val="32"/>
        </w:rPr>
        <w:t xml:space="preserve">          </w:t>
      </w:r>
      <w:r>
        <w:rPr>
          <w:rFonts w:hint="eastAsia" w:ascii="仿宋_GB2312" w:hAnsi="仿宋"/>
          <w:snapToGrid w:val="0"/>
          <w:color w:val="000000"/>
          <w:szCs w:val="32"/>
        </w:rPr>
        <w:t>百特（美国）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默克雪兰诺（德国）</w:t>
      </w:r>
      <w:r>
        <w:rPr>
          <w:rFonts w:ascii="仿宋_GB2312" w:hAnsi="仿宋"/>
          <w:snapToGrid w:val="0"/>
          <w:color w:val="000000"/>
          <w:szCs w:val="32"/>
        </w:rPr>
        <w:t xml:space="preserve">        </w:t>
      </w:r>
      <w:r>
        <w:rPr>
          <w:rFonts w:hint="eastAsia" w:ascii="仿宋_GB2312" w:hAnsi="仿宋"/>
          <w:snapToGrid w:val="0"/>
          <w:color w:val="000000"/>
          <w:szCs w:val="32"/>
        </w:rPr>
        <w:t>阿特维斯（瑞士）</w:t>
      </w:r>
      <w:r>
        <w:rPr>
          <w:rFonts w:ascii="仿宋_GB2312" w:hAnsi="仿宋"/>
          <w:snapToGrid w:val="0"/>
          <w:color w:val="000000"/>
          <w:szCs w:val="32"/>
        </w:rPr>
        <w:t xml:space="preserve">  </w:t>
      </w:r>
    </w:p>
    <w:p>
      <w:pPr>
        <w:tabs>
          <w:tab w:val="left" w:pos="4830"/>
        </w:tabs>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迈兰（美国）</w:t>
      </w:r>
      <w:r>
        <w:rPr>
          <w:rFonts w:ascii="仿宋_GB2312" w:hAnsi="仿宋"/>
          <w:snapToGrid w:val="0"/>
          <w:color w:val="000000"/>
          <w:szCs w:val="32"/>
        </w:rPr>
        <w:t xml:space="preserve">              </w:t>
      </w:r>
      <w:r>
        <w:rPr>
          <w:rFonts w:hint="eastAsia" w:ascii="仿宋_GB2312" w:hAnsi="仿宋"/>
          <w:snapToGrid w:val="0"/>
          <w:color w:val="000000"/>
          <w:szCs w:val="32"/>
        </w:rPr>
        <w:t>新基（美国）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百健艾迪（美国）</w:t>
      </w:r>
      <w:r>
        <w:rPr>
          <w:rFonts w:ascii="仿宋_GB2312" w:hAnsi="仿宋"/>
          <w:snapToGrid w:val="0"/>
          <w:color w:val="000000"/>
          <w:szCs w:val="32"/>
        </w:rPr>
        <w:t xml:space="preserve">          </w:t>
      </w:r>
      <w:r>
        <w:rPr>
          <w:rFonts w:hint="eastAsia" w:ascii="仿宋_GB2312" w:hAnsi="仿宋"/>
          <w:snapToGrid w:val="0"/>
          <w:color w:val="000000"/>
          <w:szCs w:val="32"/>
        </w:rPr>
        <w:t>艾尔建（美国）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施维雅（法国）</w:t>
      </w:r>
      <w:r>
        <w:rPr>
          <w:rFonts w:ascii="仿宋_GB2312" w:hAnsi="仿宋"/>
          <w:snapToGrid w:val="0"/>
          <w:color w:val="000000"/>
          <w:szCs w:val="32"/>
        </w:rPr>
        <w:t xml:space="preserve">            </w:t>
      </w:r>
      <w:r>
        <w:rPr>
          <w:rFonts w:hint="eastAsia" w:ascii="仿宋_GB2312" w:hAnsi="仿宋"/>
          <w:snapToGrid w:val="0"/>
          <w:color w:val="000000"/>
          <w:szCs w:val="32"/>
        </w:rPr>
        <w:t>雅培（美国）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ascii="仿宋_GB2312" w:hAnsi="仿宋"/>
          <w:snapToGrid w:val="0"/>
          <w:color w:val="000000"/>
          <w:szCs w:val="32"/>
        </w:rPr>
        <w:t>CSL</w:t>
      </w:r>
      <w:r>
        <w:rPr>
          <w:rFonts w:hint="eastAsia" w:ascii="仿宋_GB2312" w:hAnsi="仿宋"/>
          <w:snapToGrid w:val="0"/>
          <w:color w:val="000000"/>
          <w:szCs w:val="32"/>
        </w:rPr>
        <w:t>（澳大利亚）</w:t>
      </w:r>
      <w:r>
        <w:rPr>
          <w:rFonts w:ascii="仿宋_GB2312" w:hAnsi="仿宋"/>
          <w:snapToGrid w:val="0"/>
          <w:color w:val="000000"/>
          <w:szCs w:val="32"/>
        </w:rPr>
        <w:t xml:space="preserve">           </w:t>
      </w:r>
      <w:r>
        <w:rPr>
          <w:rFonts w:hint="eastAsia" w:ascii="仿宋_GB2312" w:hAnsi="仿宋"/>
          <w:snapToGrid w:val="0"/>
          <w:color w:val="000000"/>
          <w:szCs w:val="32"/>
        </w:rPr>
        <w:t>夏尔（爱尔兰）</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卫材（日本）</w:t>
      </w:r>
      <w:r>
        <w:rPr>
          <w:rFonts w:ascii="仿宋_GB2312" w:hAnsi="仿宋"/>
          <w:snapToGrid w:val="0"/>
          <w:color w:val="000000"/>
          <w:szCs w:val="32"/>
        </w:rPr>
        <w:t xml:space="preserve">              Valeant</w:t>
      </w:r>
      <w:r>
        <w:rPr>
          <w:rFonts w:hint="eastAsia" w:ascii="仿宋_GB2312" w:hAnsi="仿宋"/>
          <w:snapToGrid w:val="0"/>
          <w:color w:val="000000"/>
          <w:szCs w:val="32"/>
        </w:rPr>
        <w:t>（加拿大）</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优时比（比利时）</w:t>
      </w:r>
      <w:r>
        <w:rPr>
          <w:rFonts w:ascii="仿宋_GB2312" w:hAnsi="仿宋"/>
          <w:snapToGrid w:val="0"/>
          <w:color w:val="000000"/>
          <w:szCs w:val="32"/>
        </w:rPr>
        <w:t xml:space="preserve">          </w:t>
      </w:r>
      <w:r>
        <w:rPr>
          <w:rFonts w:hint="eastAsia" w:ascii="仿宋_GB2312" w:hAnsi="仿宋"/>
          <w:snapToGrid w:val="0"/>
          <w:color w:val="000000"/>
          <w:szCs w:val="32"/>
        </w:rPr>
        <w:t>中外制药株式会社（日本）</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费森尤斯（德国）</w:t>
      </w:r>
      <w:r>
        <w:rPr>
          <w:rFonts w:ascii="仿宋_GB2312" w:hAnsi="仿宋"/>
          <w:snapToGrid w:val="0"/>
          <w:color w:val="000000"/>
          <w:szCs w:val="32"/>
        </w:rPr>
        <w:t xml:space="preserve">          </w:t>
      </w:r>
      <w:r>
        <w:rPr>
          <w:rFonts w:hint="eastAsia" w:ascii="仿宋_GB2312" w:hAnsi="仿宋"/>
          <w:snapToGrid w:val="0"/>
          <w:color w:val="000000"/>
          <w:szCs w:val="32"/>
        </w:rPr>
        <w:t>三菱田边（日本）</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森林实验室（美国）</w:t>
      </w:r>
      <w:r>
        <w:rPr>
          <w:rFonts w:ascii="仿宋_GB2312" w:hAnsi="仿宋"/>
          <w:snapToGrid w:val="0"/>
          <w:color w:val="000000"/>
          <w:szCs w:val="32"/>
        </w:rPr>
        <w:t xml:space="preserve">        </w:t>
      </w:r>
      <w:r>
        <w:rPr>
          <w:rFonts w:hint="eastAsia" w:ascii="仿宋_GB2312" w:hAnsi="仿宋"/>
          <w:snapToGrid w:val="0"/>
          <w:color w:val="000000"/>
          <w:szCs w:val="32"/>
        </w:rPr>
        <w:t>美纳里尼（意大利）</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住友（日本）</w:t>
      </w:r>
      <w:r>
        <w:rPr>
          <w:rFonts w:ascii="仿宋_GB2312" w:hAnsi="仿宋"/>
          <w:snapToGrid w:val="0"/>
          <w:color w:val="000000"/>
          <w:szCs w:val="32"/>
        </w:rPr>
        <w:t xml:space="preserve">              </w:t>
      </w:r>
      <w:r>
        <w:rPr>
          <w:rFonts w:hint="eastAsia" w:ascii="仿宋_GB2312" w:hAnsi="仿宋"/>
          <w:snapToGrid w:val="0"/>
          <w:color w:val="000000"/>
          <w:szCs w:val="32"/>
        </w:rPr>
        <w:t>盖立复（西班牙）</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ascii="仿宋_GB2312" w:hAnsi="仿宋"/>
          <w:snapToGrid w:val="0"/>
          <w:color w:val="000000"/>
          <w:szCs w:val="32"/>
        </w:rPr>
        <w:t>Hospira</w:t>
      </w:r>
      <w:r>
        <w:rPr>
          <w:rFonts w:hint="eastAsia" w:ascii="仿宋_GB2312" w:hAnsi="仿宋"/>
          <w:snapToGrid w:val="0"/>
          <w:color w:val="000000"/>
          <w:szCs w:val="32"/>
        </w:rPr>
        <w:t>（美国）</w:t>
      </w:r>
      <w:r>
        <w:rPr>
          <w:rFonts w:ascii="仿宋_GB2312" w:hAnsi="仿宋"/>
          <w:snapToGrid w:val="0"/>
          <w:color w:val="000000"/>
          <w:szCs w:val="32"/>
        </w:rPr>
        <w:t xml:space="preserve">           Aspen</w:t>
      </w:r>
      <w:r>
        <w:rPr>
          <w:rFonts w:hint="eastAsia" w:ascii="仿宋_GB2312" w:hAnsi="仿宋"/>
          <w:snapToGrid w:val="0"/>
          <w:color w:val="000000"/>
          <w:szCs w:val="32"/>
        </w:rPr>
        <w:t>制药（南非）</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灵北（丹麦）</w:t>
      </w:r>
      <w:r>
        <w:rPr>
          <w:rFonts w:ascii="仿宋_GB2312" w:hAnsi="仿宋"/>
          <w:snapToGrid w:val="0"/>
          <w:color w:val="000000"/>
          <w:szCs w:val="32"/>
        </w:rPr>
        <w:t xml:space="preserve">              </w:t>
      </w:r>
      <w:r>
        <w:rPr>
          <w:rFonts w:hint="eastAsia" w:ascii="仿宋_GB2312" w:hAnsi="仿宋"/>
          <w:snapToGrid w:val="0"/>
          <w:color w:val="000000"/>
          <w:szCs w:val="32"/>
        </w:rPr>
        <w:t>史达德（德国）</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协和发酵麒麟（日本）</w:t>
      </w:r>
      <w:r>
        <w:rPr>
          <w:rFonts w:ascii="仿宋_GB2312" w:hAnsi="仿宋"/>
          <w:snapToGrid w:val="0"/>
          <w:color w:val="000000"/>
          <w:szCs w:val="32"/>
        </w:rPr>
        <w:t xml:space="preserve">      </w:t>
      </w:r>
      <w:r>
        <w:rPr>
          <w:rFonts w:hint="eastAsia" w:ascii="仿宋_GB2312" w:hAnsi="仿宋"/>
          <w:snapToGrid w:val="0"/>
          <w:color w:val="000000"/>
          <w:szCs w:val="32"/>
        </w:rPr>
        <w:t>太阳药业（印度）</w:t>
      </w:r>
      <w:r>
        <w:rPr>
          <w:rFonts w:ascii="仿宋_GB2312" w:hAnsi="仿宋"/>
          <w:snapToGrid w:val="0"/>
          <w:color w:val="000000"/>
          <w:szCs w:val="32"/>
        </w:rPr>
        <w:t xml:space="preserve">  </w:t>
      </w:r>
    </w:p>
    <w:p>
      <w:pPr>
        <w:adjustRightInd w:val="0"/>
        <w:snapToGrid w:val="0"/>
        <w:spacing w:line="580" w:lineRule="exact"/>
        <w:ind w:firstLine="31680" w:firstLineChars="200"/>
        <w:rPr>
          <w:rFonts w:ascii="仿宋_GB2312" w:hAnsi="仿宋"/>
          <w:snapToGrid w:val="0"/>
          <w:color w:val="000000"/>
          <w:szCs w:val="32"/>
        </w:rPr>
      </w:pPr>
      <w:r>
        <w:rPr>
          <w:rFonts w:hint="eastAsia" w:ascii="仿宋_GB2312" w:hAnsi="仿宋"/>
          <w:snapToGrid w:val="0"/>
          <w:color w:val="000000"/>
          <w:szCs w:val="32"/>
        </w:rPr>
        <w:t>普度制药（美国）</w:t>
      </w:r>
      <w:r>
        <w:rPr>
          <w:rFonts w:ascii="仿宋_GB2312" w:hAnsi="仿宋"/>
          <w:snapToGrid w:val="0"/>
          <w:color w:val="000000"/>
          <w:szCs w:val="32"/>
        </w:rPr>
        <w:t xml:space="preserve">          </w:t>
      </w:r>
      <w:r>
        <w:rPr>
          <w:rFonts w:hint="eastAsia" w:ascii="仿宋_GB2312" w:hAnsi="仿宋"/>
          <w:snapToGrid w:val="0"/>
          <w:color w:val="000000"/>
          <w:szCs w:val="32"/>
        </w:rPr>
        <w:t>兰伯西（印度）</w:t>
      </w:r>
    </w:p>
    <w:p>
      <w:pPr>
        <w:autoSpaceDE w:val="0"/>
        <w:autoSpaceDN w:val="0"/>
        <w:ind w:firstLine="31680" w:firstLineChars="200"/>
        <w:outlineLvl w:val="0"/>
        <w:rPr>
          <w:rFonts w:ascii="宋体" w:eastAsia="宋体" w:cs="宋体"/>
          <w:kern w:val="0"/>
          <w:szCs w:val="32"/>
        </w:rPr>
      </w:pPr>
    </w:p>
    <w:sectPr>
      <w:headerReference r:id="rId4" w:type="default"/>
      <w:footerReference r:id="rId5" w:type="default"/>
      <w:pgSz w:w="11906" w:h="16838"/>
      <w:pgMar w:top="2098" w:right="1588" w:bottom="1588" w:left="158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文本框 2" o:spid="_x0000_s2049" o:spt="202" type="#_x0000_t202" style="position:absolute;left:0pt;margin-top:0.05pt;height:18.15pt;width:119.9pt;mso-position-horizontal:center;mso-position-horizontal-relative:margin;z-index:251660288;mso-width-relative:page;mso-height-relative:page;" filled="f" o:preferrelative="t" stroked="f" coordsize="21600,21600">
          <v:path/>
          <v:fill on="f" focussize="0,0"/>
          <v:stroke on="f" joinstyle="miter"/>
          <v:imagedata o:title=""/>
          <o:lock v:ext="edit"/>
          <v:textbox inset="0mm,0mm,0mm,0mm">
            <w:txbxContent>
              <w:p>
                <w:pPr>
                  <w:snapToGrid w:val="0"/>
                  <w:rPr>
                    <w:sz w:val="18"/>
                  </w:rPr>
                </w:pPr>
                <w:r>
                  <w:rPr>
                    <w:rFonts w:hint="eastAsia"/>
                    <w:sz w:val="28"/>
                    <w:szCs w:val="28"/>
                  </w:rPr>
                  <w:t>第</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26</w:t>
                </w:r>
                <w:r>
                  <w:rPr>
                    <w:sz w:val="28"/>
                    <w:szCs w:val="28"/>
                  </w:rPr>
                  <w:fldChar w:fldCharType="end"/>
                </w:r>
                <w:r>
                  <w:rPr>
                    <w:sz w:val="28"/>
                    <w:szCs w:val="28"/>
                  </w:rPr>
                  <w:t xml:space="preserve"> </w:t>
                </w:r>
                <w:r>
                  <w:rPr>
                    <w:rFonts w:hint="eastAsia"/>
                    <w:sz w:val="28"/>
                    <w:szCs w:val="28"/>
                  </w:rPr>
                  <w:t>页</w:t>
                </w:r>
                <w:r>
                  <w:rPr>
                    <w:sz w:val="28"/>
                    <w:szCs w:val="28"/>
                  </w:rPr>
                  <w:t xml:space="preserve"> </w:t>
                </w:r>
                <w:r>
                  <w:rPr>
                    <w:rFonts w:hint="eastAsia"/>
                    <w:sz w:val="28"/>
                    <w:szCs w:val="28"/>
                  </w:rPr>
                  <w:t>共</w:t>
                </w:r>
                <w:r>
                  <w:rPr>
                    <w:sz w:val="28"/>
                    <w:szCs w:val="28"/>
                  </w:rPr>
                  <w:t xml:space="preserve"> </w:t>
                </w:r>
                <w:r>
                  <w:fldChar w:fldCharType="begin"/>
                </w:r>
                <w:r>
                  <w:instrText xml:space="preserve"> NUMPAGES  \* MERGEFORMAT </w:instrText>
                </w:r>
                <w:r>
                  <w:fldChar w:fldCharType="separate"/>
                </w:r>
                <w:r>
                  <w:rPr>
                    <w:sz w:val="28"/>
                    <w:szCs w:val="28"/>
                  </w:rPr>
                  <w:t>37</w:t>
                </w:r>
                <w:r>
                  <w:rPr>
                    <w:sz w:val="28"/>
                    <w:szCs w:val="28"/>
                  </w:rPr>
                  <w:fldChar w:fldCharType="end"/>
                </w:r>
                <w:r>
                  <w:rPr>
                    <w:sz w:val="28"/>
                    <w:szCs w:val="28"/>
                  </w:rPr>
                  <w:t xml:space="preserve"> </w:t>
                </w:r>
                <w:r>
                  <w:rPr>
                    <w:rFonts w:hint="eastAsia"/>
                    <w:sz w:val="28"/>
                    <w:szCs w:val="2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87"/>
    <w:rsid w:val="0000247A"/>
    <w:rsid w:val="0000266A"/>
    <w:rsid w:val="00002859"/>
    <w:rsid w:val="00002EFD"/>
    <w:rsid w:val="00003D59"/>
    <w:rsid w:val="00004B08"/>
    <w:rsid w:val="00004E27"/>
    <w:rsid w:val="0000542E"/>
    <w:rsid w:val="00005776"/>
    <w:rsid w:val="00006363"/>
    <w:rsid w:val="00006E39"/>
    <w:rsid w:val="00007068"/>
    <w:rsid w:val="00013794"/>
    <w:rsid w:val="00014182"/>
    <w:rsid w:val="00020C44"/>
    <w:rsid w:val="00023A8B"/>
    <w:rsid w:val="00024C40"/>
    <w:rsid w:val="0002621B"/>
    <w:rsid w:val="00027110"/>
    <w:rsid w:val="00027F45"/>
    <w:rsid w:val="00030497"/>
    <w:rsid w:val="000316A6"/>
    <w:rsid w:val="00033709"/>
    <w:rsid w:val="00034276"/>
    <w:rsid w:val="00034F07"/>
    <w:rsid w:val="00035DA9"/>
    <w:rsid w:val="00036156"/>
    <w:rsid w:val="00041FE6"/>
    <w:rsid w:val="000421CF"/>
    <w:rsid w:val="00044A5A"/>
    <w:rsid w:val="0004774F"/>
    <w:rsid w:val="00050E8D"/>
    <w:rsid w:val="000536BF"/>
    <w:rsid w:val="00054966"/>
    <w:rsid w:val="00055897"/>
    <w:rsid w:val="00056264"/>
    <w:rsid w:val="00056F58"/>
    <w:rsid w:val="000570BF"/>
    <w:rsid w:val="00057D63"/>
    <w:rsid w:val="00057EFD"/>
    <w:rsid w:val="000610B6"/>
    <w:rsid w:val="000626C0"/>
    <w:rsid w:val="00065A27"/>
    <w:rsid w:val="000667D9"/>
    <w:rsid w:val="00070C68"/>
    <w:rsid w:val="00071108"/>
    <w:rsid w:val="00073C2B"/>
    <w:rsid w:val="0007466F"/>
    <w:rsid w:val="000755EA"/>
    <w:rsid w:val="00080569"/>
    <w:rsid w:val="000834B5"/>
    <w:rsid w:val="00084FA6"/>
    <w:rsid w:val="00085C1A"/>
    <w:rsid w:val="00086743"/>
    <w:rsid w:val="00087B0B"/>
    <w:rsid w:val="00090674"/>
    <w:rsid w:val="000930F6"/>
    <w:rsid w:val="00095EE7"/>
    <w:rsid w:val="000964E5"/>
    <w:rsid w:val="0009761F"/>
    <w:rsid w:val="000A1DE7"/>
    <w:rsid w:val="000A3B75"/>
    <w:rsid w:val="000A591E"/>
    <w:rsid w:val="000B1471"/>
    <w:rsid w:val="000B274E"/>
    <w:rsid w:val="000B2C1C"/>
    <w:rsid w:val="000B5C68"/>
    <w:rsid w:val="000B7148"/>
    <w:rsid w:val="000C00D9"/>
    <w:rsid w:val="000C0747"/>
    <w:rsid w:val="000C600A"/>
    <w:rsid w:val="000C725D"/>
    <w:rsid w:val="000D0988"/>
    <w:rsid w:val="000D3E1E"/>
    <w:rsid w:val="000D43DA"/>
    <w:rsid w:val="000D4449"/>
    <w:rsid w:val="000E0ACE"/>
    <w:rsid w:val="000E3483"/>
    <w:rsid w:val="000E3E7D"/>
    <w:rsid w:val="000E5E5F"/>
    <w:rsid w:val="000F001C"/>
    <w:rsid w:val="000F156D"/>
    <w:rsid w:val="000F2774"/>
    <w:rsid w:val="000F2E21"/>
    <w:rsid w:val="000F32D3"/>
    <w:rsid w:val="000F59BE"/>
    <w:rsid w:val="000F5D37"/>
    <w:rsid w:val="000F6184"/>
    <w:rsid w:val="000F6BC2"/>
    <w:rsid w:val="000F6EDE"/>
    <w:rsid w:val="00103869"/>
    <w:rsid w:val="00116A02"/>
    <w:rsid w:val="00117024"/>
    <w:rsid w:val="001171C6"/>
    <w:rsid w:val="00120AA5"/>
    <w:rsid w:val="00120B0A"/>
    <w:rsid w:val="00123C62"/>
    <w:rsid w:val="00124BE4"/>
    <w:rsid w:val="00126317"/>
    <w:rsid w:val="0013099E"/>
    <w:rsid w:val="00131407"/>
    <w:rsid w:val="00134DEF"/>
    <w:rsid w:val="00135475"/>
    <w:rsid w:val="001358EB"/>
    <w:rsid w:val="00135AC6"/>
    <w:rsid w:val="00136436"/>
    <w:rsid w:val="001404C4"/>
    <w:rsid w:val="00140BEB"/>
    <w:rsid w:val="00143562"/>
    <w:rsid w:val="001448C1"/>
    <w:rsid w:val="00145AA5"/>
    <w:rsid w:val="00150227"/>
    <w:rsid w:val="00152D6F"/>
    <w:rsid w:val="00154397"/>
    <w:rsid w:val="00156CFE"/>
    <w:rsid w:val="00157825"/>
    <w:rsid w:val="00160571"/>
    <w:rsid w:val="00163B10"/>
    <w:rsid w:val="00165792"/>
    <w:rsid w:val="00166218"/>
    <w:rsid w:val="00176FB6"/>
    <w:rsid w:val="001816AB"/>
    <w:rsid w:val="00186180"/>
    <w:rsid w:val="001874BC"/>
    <w:rsid w:val="00191445"/>
    <w:rsid w:val="00191572"/>
    <w:rsid w:val="001919E5"/>
    <w:rsid w:val="00192F60"/>
    <w:rsid w:val="001941F4"/>
    <w:rsid w:val="00195789"/>
    <w:rsid w:val="001A10E8"/>
    <w:rsid w:val="001A4B48"/>
    <w:rsid w:val="001A6CD1"/>
    <w:rsid w:val="001C0FE5"/>
    <w:rsid w:val="001C253C"/>
    <w:rsid w:val="001C36A9"/>
    <w:rsid w:val="001C4627"/>
    <w:rsid w:val="001C4BA3"/>
    <w:rsid w:val="001C534D"/>
    <w:rsid w:val="001D3B66"/>
    <w:rsid w:val="001D4101"/>
    <w:rsid w:val="001E40E4"/>
    <w:rsid w:val="001E5F06"/>
    <w:rsid w:val="001E6708"/>
    <w:rsid w:val="001F38B7"/>
    <w:rsid w:val="001F6509"/>
    <w:rsid w:val="00200E84"/>
    <w:rsid w:val="002029C6"/>
    <w:rsid w:val="00203EFA"/>
    <w:rsid w:val="002100F1"/>
    <w:rsid w:val="002112EB"/>
    <w:rsid w:val="002122F0"/>
    <w:rsid w:val="0021385F"/>
    <w:rsid w:val="00216CF0"/>
    <w:rsid w:val="002207C6"/>
    <w:rsid w:val="00222776"/>
    <w:rsid w:val="00223883"/>
    <w:rsid w:val="00223934"/>
    <w:rsid w:val="00223B44"/>
    <w:rsid w:val="00224FE4"/>
    <w:rsid w:val="002322E1"/>
    <w:rsid w:val="002372A8"/>
    <w:rsid w:val="00237E2D"/>
    <w:rsid w:val="00247408"/>
    <w:rsid w:val="00253C25"/>
    <w:rsid w:val="00253CA7"/>
    <w:rsid w:val="0025477F"/>
    <w:rsid w:val="002574E8"/>
    <w:rsid w:val="00257DA8"/>
    <w:rsid w:val="002604E3"/>
    <w:rsid w:val="00262021"/>
    <w:rsid w:val="0026323D"/>
    <w:rsid w:val="002638E7"/>
    <w:rsid w:val="002731C2"/>
    <w:rsid w:val="002751D7"/>
    <w:rsid w:val="002755AC"/>
    <w:rsid w:val="00275D50"/>
    <w:rsid w:val="00277FE4"/>
    <w:rsid w:val="002801B4"/>
    <w:rsid w:val="00281008"/>
    <w:rsid w:val="00283B0C"/>
    <w:rsid w:val="0028725A"/>
    <w:rsid w:val="002879A4"/>
    <w:rsid w:val="00287BE2"/>
    <w:rsid w:val="00293430"/>
    <w:rsid w:val="0029425A"/>
    <w:rsid w:val="0029467F"/>
    <w:rsid w:val="00294808"/>
    <w:rsid w:val="00294F7A"/>
    <w:rsid w:val="00297E67"/>
    <w:rsid w:val="002A07DD"/>
    <w:rsid w:val="002B101F"/>
    <w:rsid w:val="002B5C3B"/>
    <w:rsid w:val="002C0BE1"/>
    <w:rsid w:val="002C1B4C"/>
    <w:rsid w:val="002C1E8B"/>
    <w:rsid w:val="002C36B6"/>
    <w:rsid w:val="002C7336"/>
    <w:rsid w:val="002C7E62"/>
    <w:rsid w:val="002D0030"/>
    <w:rsid w:val="002D0E21"/>
    <w:rsid w:val="002D273E"/>
    <w:rsid w:val="002D2ACB"/>
    <w:rsid w:val="002D5232"/>
    <w:rsid w:val="002D54BD"/>
    <w:rsid w:val="002E1A67"/>
    <w:rsid w:val="002E36F5"/>
    <w:rsid w:val="002E6D07"/>
    <w:rsid w:val="002E75E2"/>
    <w:rsid w:val="002F230C"/>
    <w:rsid w:val="002F5E51"/>
    <w:rsid w:val="0030059D"/>
    <w:rsid w:val="00300609"/>
    <w:rsid w:val="00310380"/>
    <w:rsid w:val="00310B09"/>
    <w:rsid w:val="00312E72"/>
    <w:rsid w:val="003132F2"/>
    <w:rsid w:val="0031432D"/>
    <w:rsid w:val="003149AC"/>
    <w:rsid w:val="00315088"/>
    <w:rsid w:val="0031641C"/>
    <w:rsid w:val="003179C9"/>
    <w:rsid w:val="00320D05"/>
    <w:rsid w:val="003238E3"/>
    <w:rsid w:val="003326FB"/>
    <w:rsid w:val="00332DE5"/>
    <w:rsid w:val="00337235"/>
    <w:rsid w:val="003440F8"/>
    <w:rsid w:val="00344AD3"/>
    <w:rsid w:val="0034599F"/>
    <w:rsid w:val="00346573"/>
    <w:rsid w:val="00347A28"/>
    <w:rsid w:val="0035129A"/>
    <w:rsid w:val="00351629"/>
    <w:rsid w:val="00352262"/>
    <w:rsid w:val="00352674"/>
    <w:rsid w:val="00352A96"/>
    <w:rsid w:val="003535CA"/>
    <w:rsid w:val="00353EB9"/>
    <w:rsid w:val="003550F2"/>
    <w:rsid w:val="00360E15"/>
    <w:rsid w:val="00362FB2"/>
    <w:rsid w:val="00363BE9"/>
    <w:rsid w:val="0036541A"/>
    <w:rsid w:val="003656F6"/>
    <w:rsid w:val="00367CFE"/>
    <w:rsid w:val="00370A60"/>
    <w:rsid w:val="0037168F"/>
    <w:rsid w:val="003718D0"/>
    <w:rsid w:val="00374E25"/>
    <w:rsid w:val="003754B9"/>
    <w:rsid w:val="00380A7A"/>
    <w:rsid w:val="003839AB"/>
    <w:rsid w:val="00385BCB"/>
    <w:rsid w:val="00387D49"/>
    <w:rsid w:val="0039029D"/>
    <w:rsid w:val="00390565"/>
    <w:rsid w:val="00390B7F"/>
    <w:rsid w:val="00393F04"/>
    <w:rsid w:val="00394222"/>
    <w:rsid w:val="00394444"/>
    <w:rsid w:val="003969B9"/>
    <w:rsid w:val="00397828"/>
    <w:rsid w:val="003A144C"/>
    <w:rsid w:val="003A22D1"/>
    <w:rsid w:val="003A2419"/>
    <w:rsid w:val="003A4816"/>
    <w:rsid w:val="003A56B0"/>
    <w:rsid w:val="003A72B2"/>
    <w:rsid w:val="003B2794"/>
    <w:rsid w:val="003B3BD0"/>
    <w:rsid w:val="003B4D78"/>
    <w:rsid w:val="003B58BE"/>
    <w:rsid w:val="003B5C76"/>
    <w:rsid w:val="003B74E2"/>
    <w:rsid w:val="003C0AED"/>
    <w:rsid w:val="003C1385"/>
    <w:rsid w:val="003C1F6E"/>
    <w:rsid w:val="003C305A"/>
    <w:rsid w:val="003C6DDF"/>
    <w:rsid w:val="003D0A64"/>
    <w:rsid w:val="003D1881"/>
    <w:rsid w:val="003D20DB"/>
    <w:rsid w:val="003D49EA"/>
    <w:rsid w:val="003D4F55"/>
    <w:rsid w:val="003D5523"/>
    <w:rsid w:val="003D580B"/>
    <w:rsid w:val="003D5FE4"/>
    <w:rsid w:val="003D7B0B"/>
    <w:rsid w:val="003E0134"/>
    <w:rsid w:val="003E1408"/>
    <w:rsid w:val="003E1D7D"/>
    <w:rsid w:val="003E25F5"/>
    <w:rsid w:val="003E340C"/>
    <w:rsid w:val="003F48EC"/>
    <w:rsid w:val="0040546A"/>
    <w:rsid w:val="00406C7C"/>
    <w:rsid w:val="0041057E"/>
    <w:rsid w:val="00410743"/>
    <w:rsid w:val="004116B9"/>
    <w:rsid w:val="00421C0D"/>
    <w:rsid w:val="00421D58"/>
    <w:rsid w:val="0042361B"/>
    <w:rsid w:val="00424376"/>
    <w:rsid w:val="00427219"/>
    <w:rsid w:val="00430A33"/>
    <w:rsid w:val="00430B1B"/>
    <w:rsid w:val="00431D50"/>
    <w:rsid w:val="004322EF"/>
    <w:rsid w:val="0043578C"/>
    <w:rsid w:val="0044204B"/>
    <w:rsid w:val="00442C9D"/>
    <w:rsid w:val="0044404B"/>
    <w:rsid w:val="00445576"/>
    <w:rsid w:val="004544AD"/>
    <w:rsid w:val="004559CE"/>
    <w:rsid w:val="00457792"/>
    <w:rsid w:val="0046031B"/>
    <w:rsid w:val="00461FA4"/>
    <w:rsid w:val="0046502D"/>
    <w:rsid w:val="00467597"/>
    <w:rsid w:val="004676B4"/>
    <w:rsid w:val="004678DD"/>
    <w:rsid w:val="00472915"/>
    <w:rsid w:val="00475143"/>
    <w:rsid w:val="0048144D"/>
    <w:rsid w:val="0048196F"/>
    <w:rsid w:val="00481DCC"/>
    <w:rsid w:val="00486CE9"/>
    <w:rsid w:val="00491B9B"/>
    <w:rsid w:val="00492C90"/>
    <w:rsid w:val="00493750"/>
    <w:rsid w:val="00497D11"/>
    <w:rsid w:val="004A02D8"/>
    <w:rsid w:val="004A18ED"/>
    <w:rsid w:val="004A2D0C"/>
    <w:rsid w:val="004A34D2"/>
    <w:rsid w:val="004A3D6B"/>
    <w:rsid w:val="004A46FE"/>
    <w:rsid w:val="004A73FC"/>
    <w:rsid w:val="004B0390"/>
    <w:rsid w:val="004B0546"/>
    <w:rsid w:val="004B08F7"/>
    <w:rsid w:val="004B2BCF"/>
    <w:rsid w:val="004B2EBC"/>
    <w:rsid w:val="004B3AD9"/>
    <w:rsid w:val="004B4CE1"/>
    <w:rsid w:val="004B6513"/>
    <w:rsid w:val="004C0588"/>
    <w:rsid w:val="004C19DC"/>
    <w:rsid w:val="004C20E7"/>
    <w:rsid w:val="004C3437"/>
    <w:rsid w:val="004C7BE4"/>
    <w:rsid w:val="004D0AE7"/>
    <w:rsid w:val="004D0BE2"/>
    <w:rsid w:val="004D1C1D"/>
    <w:rsid w:val="004D2196"/>
    <w:rsid w:val="004D24D3"/>
    <w:rsid w:val="004D2506"/>
    <w:rsid w:val="004D2FDF"/>
    <w:rsid w:val="004D3780"/>
    <w:rsid w:val="004D3A04"/>
    <w:rsid w:val="004D4555"/>
    <w:rsid w:val="004D4A00"/>
    <w:rsid w:val="004D5DA3"/>
    <w:rsid w:val="004D63AB"/>
    <w:rsid w:val="004D6961"/>
    <w:rsid w:val="004E157D"/>
    <w:rsid w:val="004E17A2"/>
    <w:rsid w:val="004E4652"/>
    <w:rsid w:val="004E6641"/>
    <w:rsid w:val="004E6817"/>
    <w:rsid w:val="004E7391"/>
    <w:rsid w:val="004F2B02"/>
    <w:rsid w:val="004F44FD"/>
    <w:rsid w:val="004F5D18"/>
    <w:rsid w:val="00505908"/>
    <w:rsid w:val="00510810"/>
    <w:rsid w:val="00512037"/>
    <w:rsid w:val="00514C58"/>
    <w:rsid w:val="00517A1F"/>
    <w:rsid w:val="005207D5"/>
    <w:rsid w:val="005214E4"/>
    <w:rsid w:val="00521F4E"/>
    <w:rsid w:val="0052714B"/>
    <w:rsid w:val="00530D41"/>
    <w:rsid w:val="005348DF"/>
    <w:rsid w:val="00535368"/>
    <w:rsid w:val="0053607D"/>
    <w:rsid w:val="0053608E"/>
    <w:rsid w:val="005372CD"/>
    <w:rsid w:val="00537E95"/>
    <w:rsid w:val="00543479"/>
    <w:rsid w:val="005442A4"/>
    <w:rsid w:val="0054461C"/>
    <w:rsid w:val="00544C35"/>
    <w:rsid w:val="00552FEA"/>
    <w:rsid w:val="005539CA"/>
    <w:rsid w:val="00554109"/>
    <w:rsid w:val="0055730D"/>
    <w:rsid w:val="0055799E"/>
    <w:rsid w:val="00561BB0"/>
    <w:rsid w:val="00563890"/>
    <w:rsid w:val="005641EC"/>
    <w:rsid w:val="00571308"/>
    <w:rsid w:val="0057283C"/>
    <w:rsid w:val="005732B3"/>
    <w:rsid w:val="005756D4"/>
    <w:rsid w:val="00576D90"/>
    <w:rsid w:val="0058004B"/>
    <w:rsid w:val="00580C58"/>
    <w:rsid w:val="005821E4"/>
    <w:rsid w:val="00583D7E"/>
    <w:rsid w:val="00583E65"/>
    <w:rsid w:val="005917D9"/>
    <w:rsid w:val="00593EEA"/>
    <w:rsid w:val="00594D96"/>
    <w:rsid w:val="00596CA0"/>
    <w:rsid w:val="005A256D"/>
    <w:rsid w:val="005A5139"/>
    <w:rsid w:val="005A5DB0"/>
    <w:rsid w:val="005A65DA"/>
    <w:rsid w:val="005A734A"/>
    <w:rsid w:val="005B0687"/>
    <w:rsid w:val="005B074E"/>
    <w:rsid w:val="005B097E"/>
    <w:rsid w:val="005B1091"/>
    <w:rsid w:val="005B10BA"/>
    <w:rsid w:val="005C0004"/>
    <w:rsid w:val="005C04D6"/>
    <w:rsid w:val="005C0AB0"/>
    <w:rsid w:val="005C0ECF"/>
    <w:rsid w:val="005C1E4E"/>
    <w:rsid w:val="005C469F"/>
    <w:rsid w:val="005C4A18"/>
    <w:rsid w:val="005C4F30"/>
    <w:rsid w:val="005C6936"/>
    <w:rsid w:val="005C6BF0"/>
    <w:rsid w:val="005D35DB"/>
    <w:rsid w:val="005E15A0"/>
    <w:rsid w:val="005E2A02"/>
    <w:rsid w:val="005E2C5D"/>
    <w:rsid w:val="005E32A7"/>
    <w:rsid w:val="005E36AA"/>
    <w:rsid w:val="005F290B"/>
    <w:rsid w:val="005F3A96"/>
    <w:rsid w:val="005F4617"/>
    <w:rsid w:val="005F7696"/>
    <w:rsid w:val="0060206C"/>
    <w:rsid w:val="006020E3"/>
    <w:rsid w:val="0060349B"/>
    <w:rsid w:val="00604B7E"/>
    <w:rsid w:val="00606ABB"/>
    <w:rsid w:val="00607026"/>
    <w:rsid w:val="00610A08"/>
    <w:rsid w:val="00620E17"/>
    <w:rsid w:val="00621FAD"/>
    <w:rsid w:val="00624C72"/>
    <w:rsid w:val="00625E34"/>
    <w:rsid w:val="00626C0E"/>
    <w:rsid w:val="0062772D"/>
    <w:rsid w:val="006277AC"/>
    <w:rsid w:val="00630972"/>
    <w:rsid w:val="006317FF"/>
    <w:rsid w:val="00634389"/>
    <w:rsid w:val="00640899"/>
    <w:rsid w:val="00641D83"/>
    <w:rsid w:val="0064334E"/>
    <w:rsid w:val="006434FB"/>
    <w:rsid w:val="00647185"/>
    <w:rsid w:val="00647EC4"/>
    <w:rsid w:val="00650149"/>
    <w:rsid w:val="00651459"/>
    <w:rsid w:val="00654CE0"/>
    <w:rsid w:val="00655E50"/>
    <w:rsid w:val="0065783F"/>
    <w:rsid w:val="00657A24"/>
    <w:rsid w:val="00661917"/>
    <w:rsid w:val="00662585"/>
    <w:rsid w:val="006649E2"/>
    <w:rsid w:val="006652C2"/>
    <w:rsid w:val="0066609B"/>
    <w:rsid w:val="00667152"/>
    <w:rsid w:val="00671165"/>
    <w:rsid w:val="006756A7"/>
    <w:rsid w:val="00676C4C"/>
    <w:rsid w:val="00676D7B"/>
    <w:rsid w:val="006867F0"/>
    <w:rsid w:val="0068701A"/>
    <w:rsid w:val="00687C30"/>
    <w:rsid w:val="00690C74"/>
    <w:rsid w:val="006927D2"/>
    <w:rsid w:val="006940B4"/>
    <w:rsid w:val="0069516D"/>
    <w:rsid w:val="006A0E6F"/>
    <w:rsid w:val="006A420C"/>
    <w:rsid w:val="006A56BD"/>
    <w:rsid w:val="006A7FF6"/>
    <w:rsid w:val="006B1EAF"/>
    <w:rsid w:val="006B2DB8"/>
    <w:rsid w:val="006B2EF9"/>
    <w:rsid w:val="006B3B86"/>
    <w:rsid w:val="006B6FC6"/>
    <w:rsid w:val="006C00DD"/>
    <w:rsid w:val="006C61B6"/>
    <w:rsid w:val="006C64F4"/>
    <w:rsid w:val="006C71CE"/>
    <w:rsid w:val="006C78A1"/>
    <w:rsid w:val="006D1CEF"/>
    <w:rsid w:val="006D1DCC"/>
    <w:rsid w:val="006D3BD4"/>
    <w:rsid w:val="006D6A0A"/>
    <w:rsid w:val="006E11DD"/>
    <w:rsid w:val="006E14AA"/>
    <w:rsid w:val="006E2FEA"/>
    <w:rsid w:val="006E5A24"/>
    <w:rsid w:val="006E71E3"/>
    <w:rsid w:val="006F118A"/>
    <w:rsid w:val="006F34A5"/>
    <w:rsid w:val="006F3A06"/>
    <w:rsid w:val="006F5823"/>
    <w:rsid w:val="006F642F"/>
    <w:rsid w:val="007035DC"/>
    <w:rsid w:val="007043FD"/>
    <w:rsid w:val="0071242F"/>
    <w:rsid w:val="00712869"/>
    <w:rsid w:val="007130F0"/>
    <w:rsid w:val="007142BA"/>
    <w:rsid w:val="007142D4"/>
    <w:rsid w:val="00715D91"/>
    <w:rsid w:val="00717381"/>
    <w:rsid w:val="0072085F"/>
    <w:rsid w:val="00720EF6"/>
    <w:rsid w:val="00721189"/>
    <w:rsid w:val="00721AB3"/>
    <w:rsid w:val="00722577"/>
    <w:rsid w:val="00722800"/>
    <w:rsid w:val="007240B6"/>
    <w:rsid w:val="00725870"/>
    <w:rsid w:val="00725E30"/>
    <w:rsid w:val="00726526"/>
    <w:rsid w:val="00727C96"/>
    <w:rsid w:val="007330E9"/>
    <w:rsid w:val="00735AA1"/>
    <w:rsid w:val="007414B7"/>
    <w:rsid w:val="00750155"/>
    <w:rsid w:val="007503C6"/>
    <w:rsid w:val="00750CDD"/>
    <w:rsid w:val="00750E89"/>
    <w:rsid w:val="007603D2"/>
    <w:rsid w:val="007624A7"/>
    <w:rsid w:val="0076269D"/>
    <w:rsid w:val="00763F5E"/>
    <w:rsid w:val="007656B6"/>
    <w:rsid w:val="00767C46"/>
    <w:rsid w:val="00772A3A"/>
    <w:rsid w:val="0077379F"/>
    <w:rsid w:val="007741DA"/>
    <w:rsid w:val="00777CAF"/>
    <w:rsid w:val="00782B91"/>
    <w:rsid w:val="00783286"/>
    <w:rsid w:val="00785825"/>
    <w:rsid w:val="007867B8"/>
    <w:rsid w:val="00787EFE"/>
    <w:rsid w:val="00787F43"/>
    <w:rsid w:val="00790693"/>
    <w:rsid w:val="007930C5"/>
    <w:rsid w:val="007936C2"/>
    <w:rsid w:val="00794F7D"/>
    <w:rsid w:val="007957A4"/>
    <w:rsid w:val="007A1FFF"/>
    <w:rsid w:val="007A36CE"/>
    <w:rsid w:val="007A3E9B"/>
    <w:rsid w:val="007A459F"/>
    <w:rsid w:val="007A45DD"/>
    <w:rsid w:val="007A55E0"/>
    <w:rsid w:val="007A6536"/>
    <w:rsid w:val="007A7B61"/>
    <w:rsid w:val="007B068E"/>
    <w:rsid w:val="007B0E8C"/>
    <w:rsid w:val="007B681E"/>
    <w:rsid w:val="007B6CF4"/>
    <w:rsid w:val="007C21BA"/>
    <w:rsid w:val="007C49CE"/>
    <w:rsid w:val="007C5717"/>
    <w:rsid w:val="007D1B8E"/>
    <w:rsid w:val="007D2465"/>
    <w:rsid w:val="007D3065"/>
    <w:rsid w:val="007D557B"/>
    <w:rsid w:val="007E0564"/>
    <w:rsid w:val="007E130E"/>
    <w:rsid w:val="007E14C4"/>
    <w:rsid w:val="007E21DD"/>
    <w:rsid w:val="007E4F82"/>
    <w:rsid w:val="007F0C30"/>
    <w:rsid w:val="007F2771"/>
    <w:rsid w:val="007F2781"/>
    <w:rsid w:val="007F4326"/>
    <w:rsid w:val="007F46B8"/>
    <w:rsid w:val="007F59AD"/>
    <w:rsid w:val="007F67D5"/>
    <w:rsid w:val="0080124A"/>
    <w:rsid w:val="008012EB"/>
    <w:rsid w:val="00801EB0"/>
    <w:rsid w:val="008022A0"/>
    <w:rsid w:val="008032C8"/>
    <w:rsid w:val="00803C4B"/>
    <w:rsid w:val="00810F48"/>
    <w:rsid w:val="008110F5"/>
    <w:rsid w:val="00811AAF"/>
    <w:rsid w:val="00814744"/>
    <w:rsid w:val="00814D06"/>
    <w:rsid w:val="00814E48"/>
    <w:rsid w:val="00815678"/>
    <w:rsid w:val="00815872"/>
    <w:rsid w:val="00821022"/>
    <w:rsid w:val="008268CF"/>
    <w:rsid w:val="00830277"/>
    <w:rsid w:val="00831FBE"/>
    <w:rsid w:val="00837E63"/>
    <w:rsid w:val="00840A77"/>
    <w:rsid w:val="008422A3"/>
    <w:rsid w:val="00842D61"/>
    <w:rsid w:val="00843DC9"/>
    <w:rsid w:val="0085603A"/>
    <w:rsid w:val="00860014"/>
    <w:rsid w:val="0086380E"/>
    <w:rsid w:val="00864B9C"/>
    <w:rsid w:val="00865F9F"/>
    <w:rsid w:val="0087232E"/>
    <w:rsid w:val="00872B10"/>
    <w:rsid w:val="008731CA"/>
    <w:rsid w:val="00876813"/>
    <w:rsid w:val="008769C1"/>
    <w:rsid w:val="00883654"/>
    <w:rsid w:val="00884612"/>
    <w:rsid w:val="00884784"/>
    <w:rsid w:val="0089099A"/>
    <w:rsid w:val="00891141"/>
    <w:rsid w:val="008936F9"/>
    <w:rsid w:val="0089441E"/>
    <w:rsid w:val="00896D48"/>
    <w:rsid w:val="00897438"/>
    <w:rsid w:val="008A3F83"/>
    <w:rsid w:val="008A4B22"/>
    <w:rsid w:val="008A4EEA"/>
    <w:rsid w:val="008A533B"/>
    <w:rsid w:val="008B2D64"/>
    <w:rsid w:val="008B2FAE"/>
    <w:rsid w:val="008B3DF8"/>
    <w:rsid w:val="008B6D74"/>
    <w:rsid w:val="008B7AEB"/>
    <w:rsid w:val="008C27A4"/>
    <w:rsid w:val="008C3A50"/>
    <w:rsid w:val="008C4748"/>
    <w:rsid w:val="008C48DA"/>
    <w:rsid w:val="008C4CDD"/>
    <w:rsid w:val="008C57E8"/>
    <w:rsid w:val="008C5B23"/>
    <w:rsid w:val="008C61B3"/>
    <w:rsid w:val="008C7030"/>
    <w:rsid w:val="008C74FA"/>
    <w:rsid w:val="008D10CE"/>
    <w:rsid w:val="008D6A7E"/>
    <w:rsid w:val="008D7B99"/>
    <w:rsid w:val="008E02E3"/>
    <w:rsid w:val="008E580C"/>
    <w:rsid w:val="008F50BE"/>
    <w:rsid w:val="008F5DE5"/>
    <w:rsid w:val="008F6F28"/>
    <w:rsid w:val="00906CB9"/>
    <w:rsid w:val="00907D74"/>
    <w:rsid w:val="0091025C"/>
    <w:rsid w:val="00911ECE"/>
    <w:rsid w:val="00914539"/>
    <w:rsid w:val="0092011F"/>
    <w:rsid w:val="009210CA"/>
    <w:rsid w:val="00925AC6"/>
    <w:rsid w:val="00926579"/>
    <w:rsid w:val="00926FA7"/>
    <w:rsid w:val="0093223A"/>
    <w:rsid w:val="00936207"/>
    <w:rsid w:val="009400A3"/>
    <w:rsid w:val="00940AC6"/>
    <w:rsid w:val="00943BF3"/>
    <w:rsid w:val="00946C9F"/>
    <w:rsid w:val="00947CA3"/>
    <w:rsid w:val="00950884"/>
    <w:rsid w:val="0095365C"/>
    <w:rsid w:val="00954853"/>
    <w:rsid w:val="00961B2D"/>
    <w:rsid w:val="00962A07"/>
    <w:rsid w:val="009630B4"/>
    <w:rsid w:val="0096519E"/>
    <w:rsid w:val="00965AE1"/>
    <w:rsid w:val="009661D9"/>
    <w:rsid w:val="00971286"/>
    <w:rsid w:val="00972D35"/>
    <w:rsid w:val="00972F61"/>
    <w:rsid w:val="009842D8"/>
    <w:rsid w:val="00990029"/>
    <w:rsid w:val="00990F93"/>
    <w:rsid w:val="009A07A7"/>
    <w:rsid w:val="009A2FA1"/>
    <w:rsid w:val="009A556C"/>
    <w:rsid w:val="009A7B1B"/>
    <w:rsid w:val="009B7724"/>
    <w:rsid w:val="009C38FE"/>
    <w:rsid w:val="009C3969"/>
    <w:rsid w:val="009C52DD"/>
    <w:rsid w:val="009C7B65"/>
    <w:rsid w:val="009D2E5C"/>
    <w:rsid w:val="009D3095"/>
    <w:rsid w:val="009D4028"/>
    <w:rsid w:val="009D4A93"/>
    <w:rsid w:val="009D53B5"/>
    <w:rsid w:val="009D57CE"/>
    <w:rsid w:val="009D5937"/>
    <w:rsid w:val="009D775D"/>
    <w:rsid w:val="009E4293"/>
    <w:rsid w:val="009F06F3"/>
    <w:rsid w:val="009F1263"/>
    <w:rsid w:val="009F3234"/>
    <w:rsid w:val="009F3D3B"/>
    <w:rsid w:val="009F6A46"/>
    <w:rsid w:val="00A02DE6"/>
    <w:rsid w:val="00A115E8"/>
    <w:rsid w:val="00A1307A"/>
    <w:rsid w:val="00A143D9"/>
    <w:rsid w:val="00A147E1"/>
    <w:rsid w:val="00A1513A"/>
    <w:rsid w:val="00A165B3"/>
    <w:rsid w:val="00A178E4"/>
    <w:rsid w:val="00A22691"/>
    <w:rsid w:val="00A2275D"/>
    <w:rsid w:val="00A23636"/>
    <w:rsid w:val="00A24D2F"/>
    <w:rsid w:val="00A252C3"/>
    <w:rsid w:val="00A2711F"/>
    <w:rsid w:val="00A27EC8"/>
    <w:rsid w:val="00A3183D"/>
    <w:rsid w:val="00A31E88"/>
    <w:rsid w:val="00A32EE4"/>
    <w:rsid w:val="00A33507"/>
    <w:rsid w:val="00A3472C"/>
    <w:rsid w:val="00A42815"/>
    <w:rsid w:val="00A43A81"/>
    <w:rsid w:val="00A43F44"/>
    <w:rsid w:val="00A44DE8"/>
    <w:rsid w:val="00A465F6"/>
    <w:rsid w:val="00A521C4"/>
    <w:rsid w:val="00A5282F"/>
    <w:rsid w:val="00A53074"/>
    <w:rsid w:val="00A53378"/>
    <w:rsid w:val="00A5347F"/>
    <w:rsid w:val="00A544DD"/>
    <w:rsid w:val="00A55FE2"/>
    <w:rsid w:val="00A5601C"/>
    <w:rsid w:val="00A56420"/>
    <w:rsid w:val="00A567C0"/>
    <w:rsid w:val="00A571F0"/>
    <w:rsid w:val="00A605CD"/>
    <w:rsid w:val="00A60ADC"/>
    <w:rsid w:val="00A648F5"/>
    <w:rsid w:val="00A658CF"/>
    <w:rsid w:val="00A669C7"/>
    <w:rsid w:val="00A7185A"/>
    <w:rsid w:val="00A72684"/>
    <w:rsid w:val="00A7409B"/>
    <w:rsid w:val="00A74D7E"/>
    <w:rsid w:val="00A76341"/>
    <w:rsid w:val="00A77904"/>
    <w:rsid w:val="00A77B91"/>
    <w:rsid w:val="00A81540"/>
    <w:rsid w:val="00A820EB"/>
    <w:rsid w:val="00A82245"/>
    <w:rsid w:val="00A8236E"/>
    <w:rsid w:val="00A827BF"/>
    <w:rsid w:val="00A871A7"/>
    <w:rsid w:val="00A95302"/>
    <w:rsid w:val="00A95323"/>
    <w:rsid w:val="00AA0BCB"/>
    <w:rsid w:val="00AA14DA"/>
    <w:rsid w:val="00AA6347"/>
    <w:rsid w:val="00AA658F"/>
    <w:rsid w:val="00AA6621"/>
    <w:rsid w:val="00AB1902"/>
    <w:rsid w:val="00AB34AC"/>
    <w:rsid w:val="00AB7BD8"/>
    <w:rsid w:val="00AC492F"/>
    <w:rsid w:val="00AC53F0"/>
    <w:rsid w:val="00AD27F6"/>
    <w:rsid w:val="00AD2DD1"/>
    <w:rsid w:val="00AD3569"/>
    <w:rsid w:val="00AD4608"/>
    <w:rsid w:val="00AE120D"/>
    <w:rsid w:val="00AE1A10"/>
    <w:rsid w:val="00AE2024"/>
    <w:rsid w:val="00AE5179"/>
    <w:rsid w:val="00AF0DAB"/>
    <w:rsid w:val="00AF226C"/>
    <w:rsid w:val="00AF3FDC"/>
    <w:rsid w:val="00AF6568"/>
    <w:rsid w:val="00AF724D"/>
    <w:rsid w:val="00AF7E42"/>
    <w:rsid w:val="00B0063A"/>
    <w:rsid w:val="00B00DAD"/>
    <w:rsid w:val="00B01FDD"/>
    <w:rsid w:val="00B02596"/>
    <w:rsid w:val="00B05AF3"/>
    <w:rsid w:val="00B05E8A"/>
    <w:rsid w:val="00B10109"/>
    <w:rsid w:val="00B10777"/>
    <w:rsid w:val="00B14387"/>
    <w:rsid w:val="00B155AF"/>
    <w:rsid w:val="00B15DA3"/>
    <w:rsid w:val="00B1655F"/>
    <w:rsid w:val="00B17C35"/>
    <w:rsid w:val="00B241A6"/>
    <w:rsid w:val="00B2799C"/>
    <w:rsid w:val="00B320DF"/>
    <w:rsid w:val="00B3227F"/>
    <w:rsid w:val="00B3288F"/>
    <w:rsid w:val="00B332D4"/>
    <w:rsid w:val="00B33B9B"/>
    <w:rsid w:val="00B349B8"/>
    <w:rsid w:val="00B365E0"/>
    <w:rsid w:val="00B36731"/>
    <w:rsid w:val="00B40A75"/>
    <w:rsid w:val="00B40EDB"/>
    <w:rsid w:val="00B43693"/>
    <w:rsid w:val="00B4379B"/>
    <w:rsid w:val="00B44F76"/>
    <w:rsid w:val="00B45130"/>
    <w:rsid w:val="00B45F8C"/>
    <w:rsid w:val="00B469B9"/>
    <w:rsid w:val="00B46B87"/>
    <w:rsid w:val="00B5005E"/>
    <w:rsid w:val="00B50868"/>
    <w:rsid w:val="00B51419"/>
    <w:rsid w:val="00B54027"/>
    <w:rsid w:val="00B54854"/>
    <w:rsid w:val="00B5602E"/>
    <w:rsid w:val="00B56F5A"/>
    <w:rsid w:val="00B60B3B"/>
    <w:rsid w:val="00B66233"/>
    <w:rsid w:val="00B676EC"/>
    <w:rsid w:val="00B70322"/>
    <w:rsid w:val="00B72701"/>
    <w:rsid w:val="00B75AEA"/>
    <w:rsid w:val="00B771E9"/>
    <w:rsid w:val="00B77ADE"/>
    <w:rsid w:val="00B8071F"/>
    <w:rsid w:val="00B82218"/>
    <w:rsid w:val="00B822F6"/>
    <w:rsid w:val="00B848E0"/>
    <w:rsid w:val="00B85516"/>
    <w:rsid w:val="00B87A13"/>
    <w:rsid w:val="00B90267"/>
    <w:rsid w:val="00B90CF3"/>
    <w:rsid w:val="00B926A7"/>
    <w:rsid w:val="00B96290"/>
    <w:rsid w:val="00BA0ECF"/>
    <w:rsid w:val="00BA12AA"/>
    <w:rsid w:val="00BA45D0"/>
    <w:rsid w:val="00BB42E7"/>
    <w:rsid w:val="00BB56AF"/>
    <w:rsid w:val="00BB56BA"/>
    <w:rsid w:val="00BB5E22"/>
    <w:rsid w:val="00BB6200"/>
    <w:rsid w:val="00BB69D5"/>
    <w:rsid w:val="00BB79B6"/>
    <w:rsid w:val="00BC1B88"/>
    <w:rsid w:val="00BC299D"/>
    <w:rsid w:val="00BC2CB0"/>
    <w:rsid w:val="00BC2E60"/>
    <w:rsid w:val="00BC3831"/>
    <w:rsid w:val="00BC432D"/>
    <w:rsid w:val="00BC5DC8"/>
    <w:rsid w:val="00BC73BF"/>
    <w:rsid w:val="00BD2F6D"/>
    <w:rsid w:val="00BD3894"/>
    <w:rsid w:val="00BD66D5"/>
    <w:rsid w:val="00BE205A"/>
    <w:rsid w:val="00BE3D01"/>
    <w:rsid w:val="00BE4420"/>
    <w:rsid w:val="00BE517E"/>
    <w:rsid w:val="00BE58A4"/>
    <w:rsid w:val="00BE6C16"/>
    <w:rsid w:val="00BE794F"/>
    <w:rsid w:val="00BF1559"/>
    <w:rsid w:val="00BF15AD"/>
    <w:rsid w:val="00BF5335"/>
    <w:rsid w:val="00BF60CD"/>
    <w:rsid w:val="00BF6C13"/>
    <w:rsid w:val="00C01F87"/>
    <w:rsid w:val="00C04D0D"/>
    <w:rsid w:val="00C1366B"/>
    <w:rsid w:val="00C1410D"/>
    <w:rsid w:val="00C169C5"/>
    <w:rsid w:val="00C173E7"/>
    <w:rsid w:val="00C176BC"/>
    <w:rsid w:val="00C203FC"/>
    <w:rsid w:val="00C334AB"/>
    <w:rsid w:val="00C347FD"/>
    <w:rsid w:val="00C3511D"/>
    <w:rsid w:val="00C37513"/>
    <w:rsid w:val="00C40213"/>
    <w:rsid w:val="00C404A5"/>
    <w:rsid w:val="00C408E9"/>
    <w:rsid w:val="00C42426"/>
    <w:rsid w:val="00C42FBA"/>
    <w:rsid w:val="00C44CE3"/>
    <w:rsid w:val="00C50448"/>
    <w:rsid w:val="00C50C19"/>
    <w:rsid w:val="00C51982"/>
    <w:rsid w:val="00C519EF"/>
    <w:rsid w:val="00C56A37"/>
    <w:rsid w:val="00C572D0"/>
    <w:rsid w:val="00C6175D"/>
    <w:rsid w:val="00C654FF"/>
    <w:rsid w:val="00C6599F"/>
    <w:rsid w:val="00C664D5"/>
    <w:rsid w:val="00C67BF9"/>
    <w:rsid w:val="00C70A8A"/>
    <w:rsid w:val="00C803D7"/>
    <w:rsid w:val="00C826E3"/>
    <w:rsid w:val="00C827B2"/>
    <w:rsid w:val="00C84B01"/>
    <w:rsid w:val="00C84CFB"/>
    <w:rsid w:val="00C902E4"/>
    <w:rsid w:val="00C9229B"/>
    <w:rsid w:val="00C95A54"/>
    <w:rsid w:val="00CA134B"/>
    <w:rsid w:val="00CA17C2"/>
    <w:rsid w:val="00CA5F43"/>
    <w:rsid w:val="00CB0F62"/>
    <w:rsid w:val="00CB50DB"/>
    <w:rsid w:val="00CC347B"/>
    <w:rsid w:val="00CC6B36"/>
    <w:rsid w:val="00CC6EF8"/>
    <w:rsid w:val="00CD4B24"/>
    <w:rsid w:val="00CE2BB4"/>
    <w:rsid w:val="00CE36A0"/>
    <w:rsid w:val="00CE3BE1"/>
    <w:rsid w:val="00CE3E79"/>
    <w:rsid w:val="00CE5EAE"/>
    <w:rsid w:val="00CE6429"/>
    <w:rsid w:val="00CF3488"/>
    <w:rsid w:val="00CF363B"/>
    <w:rsid w:val="00CF553D"/>
    <w:rsid w:val="00CF557C"/>
    <w:rsid w:val="00CF7866"/>
    <w:rsid w:val="00D00ABA"/>
    <w:rsid w:val="00D02745"/>
    <w:rsid w:val="00D04441"/>
    <w:rsid w:val="00D049C3"/>
    <w:rsid w:val="00D04D6A"/>
    <w:rsid w:val="00D04F11"/>
    <w:rsid w:val="00D05FDF"/>
    <w:rsid w:val="00D07813"/>
    <w:rsid w:val="00D07875"/>
    <w:rsid w:val="00D07F74"/>
    <w:rsid w:val="00D101B1"/>
    <w:rsid w:val="00D1229D"/>
    <w:rsid w:val="00D12880"/>
    <w:rsid w:val="00D13DC5"/>
    <w:rsid w:val="00D14160"/>
    <w:rsid w:val="00D15920"/>
    <w:rsid w:val="00D16F4F"/>
    <w:rsid w:val="00D22DBA"/>
    <w:rsid w:val="00D23360"/>
    <w:rsid w:val="00D31C66"/>
    <w:rsid w:val="00D40717"/>
    <w:rsid w:val="00D42512"/>
    <w:rsid w:val="00D42712"/>
    <w:rsid w:val="00D427E9"/>
    <w:rsid w:val="00D47F04"/>
    <w:rsid w:val="00D53405"/>
    <w:rsid w:val="00D537C5"/>
    <w:rsid w:val="00D62BA7"/>
    <w:rsid w:val="00D65B29"/>
    <w:rsid w:val="00D65FB9"/>
    <w:rsid w:val="00D67AE7"/>
    <w:rsid w:val="00D71B6D"/>
    <w:rsid w:val="00D7288A"/>
    <w:rsid w:val="00D73497"/>
    <w:rsid w:val="00D74A55"/>
    <w:rsid w:val="00D74C86"/>
    <w:rsid w:val="00D751C3"/>
    <w:rsid w:val="00D76699"/>
    <w:rsid w:val="00D80E5D"/>
    <w:rsid w:val="00D812D0"/>
    <w:rsid w:val="00D86C59"/>
    <w:rsid w:val="00D91898"/>
    <w:rsid w:val="00D9464C"/>
    <w:rsid w:val="00D94F10"/>
    <w:rsid w:val="00D96ABF"/>
    <w:rsid w:val="00DA01BB"/>
    <w:rsid w:val="00DA389F"/>
    <w:rsid w:val="00DA7B60"/>
    <w:rsid w:val="00DB3C32"/>
    <w:rsid w:val="00DB7E2C"/>
    <w:rsid w:val="00DB7FC6"/>
    <w:rsid w:val="00DC040B"/>
    <w:rsid w:val="00DC1C06"/>
    <w:rsid w:val="00DC6151"/>
    <w:rsid w:val="00DD02AA"/>
    <w:rsid w:val="00DD19F0"/>
    <w:rsid w:val="00DD2A74"/>
    <w:rsid w:val="00DD2C3B"/>
    <w:rsid w:val="00DD3181"/>
    <w:rsid w:val="00DD3547"/>
    <w:rsid w:val="00DE0231"/>
    <w:rsid w:val="00DE02C6"/>
    <w:rsid w:val="00DE1673"/>
    <w:rsid w:val="00DE18FF"/>
    <w:rsid w:val="00DE33C4"/>
    <w:rsid w:val="00DE5443"/>
    <w:rsid w:val="00DE72C7"/>
    <w:rsid w:val="00DF2310"/>
    <w:rsid w:val="00DF4CC3"/>
    <w:rsid w:val="00DF6F10"/>
    <w:rsid w:val="00E021A8"/>
    <w:rsid w:val="00E05B0D"/>
    <w:rsid w:val="00E13489"/>
    <w:rsid w:val="00E15B41"/>
    <w:rsid w:val="00E21816"/>
    <w:rsid w:val="00E22FA8"/>
    <w:rsid w:val="00E26F9F"/>
    <w:rsid w:val="00E33156"/>
    <w:rsid w:val="00E34F24"/>
    <w:rsid w:val="00E371D0"/>
    <w:rsid w:val="00E401CF"/>
    <w:rsid w:val="00E41F6F"/>
    <w:rsid w:val="00E4326E"/>
    <w:rsid w:val="00E43C8F"/>
    <w:rsid w:val="00E46FC1"/>
    <w:rsid w:val="00E54C30"/>
    <w:rsid w:val="00E55E1A"/>
    <w:rsid w:val="00E56CF2"/>
    <w:rsid w:val="00E64426"/>
    <w:rsid w:val="00E64486"/>
    <w:rsid w:val="00E64AFC"/>
    <w:rsid w:val="00E65C46"/>
    <w:rsid w:val="00E65ECD"/>
    <w:rsid w:val="00E73E1C"/>
    <w:rsid w:val="00E7417C"/>
    <w:rsid w:val="00E750B1"/>
    <w:rsid w:val="00E75D41"/>
    <w:rsid w:val="00E80952"/>
    <w:rsid w:val="00E80E48"/>
    <w:rsid w:val="00E82428"/>
    <w:rsid w:val="00E82884"/>
    <w:rsid w:val="00E833D1"/>
    <w:rsid w:val="00E84924"/>
    <w:rsid w:val="00E869A4"/>
    <w:rsid w:val="00E9181B"/>
    <w:rsid w:val="00E920B0"/>
    <w:rsid w:val="00E92183"/>
    <w:rsid w:val="00E92D4A"/>
    <w:rsid w:val="00E93111"/>
    <w:rsid w:val="00E93F06"/>
    <w:rsid w:val="00E97D3B"/>
    <w:rsid w:val="00EA2055"/>
    <w:rsid w:val="00EA45BA"/>
    <w:rsid w:val="00EA7DCF"/>
    <w:rsid w:val="00EB1345"/>
    <w:rsid w:val="00EB187A"/>
    <w:rsid w:val="00EB1B72"/>
    <w:rsid w:val="00EB4882"/>
    <w:rsid w:val="00EB56B3"/>
    <w:rsid w:val="00EB6C0F"/>
    <w:rsid w:val="00EC0AE1"/>
    <w:rsid w:val="00EC2B7B"/>
    <w:rsid w:val="00EC3A30"/>
    <w:rsid w:val="00EC437C"/>
    <w:rsid w:val="00EC5825"/>
    <w:rsid w:val="00ED0C29"/>
    <w:rsid w:val="00ED0FA3"/>
    <w:rsid w:val="00ED15EE"/>
    <w:rsid w:val="00ED2245"/>
    <w:rsid w:val="00ED4E59"/>
    <w:rsid w:val="00ED6B2C"/>
    <w:rsid w:val="00ED6EF9"/>
    <w:rsid w:val="00EE1573"/>
    <w:rsid w:val="00EE3F44"/>
    <w:rsid w:val="00EE446B"/>
    <w:rsid w:val="00EE5526"/>
    <w:rsid w:val="00EE6A18"/>
    <w:rsid w:val="00EF4173"/>
    <w:rsid w:val="00EF41A4"/>
    <w:rsid w:val="00EF772A"/>
    <w:rsid w:val="00F03BCC"/>
    <w:rsid w:val="00F04544"/>
    <w:rsid w:val="00F1145A"/>
    <w:rsid w:val="00F116E8"/>
    <w:rsid w:val="00F11C79"/>
    <w:rsid w:val="00F12184"/>
    <w:rsid w:val="00F133E9"/>
    <w:rsid w:val="00F16555"/>
    <w:rsid w:val="00F20BA0"/>
    <w:rsid w:val="00F269B3"/>
    <w:rsid w:val="00F271B5"/>
    <w:rsid w:val="00F30740"/>
    <w:rsid w:val="00F310BB"/>
    <w:rsid w:val="00F311B0"/>
    <w:rsid w:val="00F31C31"/>
    <w:rsid w:val="00F32964"/>
    <w:rsid w:val="00F33388"/>
    <w:rsid w:val="00F37312"/>
    <w:rsid w:val="00F37AAF"/>
    <w:rsid w:val="00F42A28"/>
    <w:rsid w:val="00F44733"/>
    <w:rsid w:val="00F448C3"/>
    <w:rsid w:val="00F46AA9"/>
    <w:rsid w:val="00F46D1C"/>
    <w:rsid w:val="00F50CD3"/>
    <w:rsid w:val="00F516B3"/>
    <w:rsid w:val="00F547B8"/>
    <w:rsid w:val="00F56C3E"/>
    <w:rsid w:val="00F61039"/>
    <w:rsid w:val="00F619A4"/>
    <w:rsid w:val="00F6265E"/>
    <w:rsid w:val="00F64477"/>
    <w:rsid w:val="00F7166C"/>
    <w:rsid w:val="00F71718"/>
    <w:rsid w:val="00F71D51"/>
    <w:rsid w:val="00F71D55"/>
    <w:rsid w:val="00F74556"/>
    <w:rsid w:val="00F822D2"/>
    <w:rsid w:val="00F85063"/>
    <w:rsid w:val="00F85330"/>
    <w:rsid w:val="00F860DE"/>
    <w:rsid w:val="00F86DD3"/>
    <w:rsid w:val="00F914A2"/>
    <w:rsid w:val="00F9157B"/>
    <w:rsid w:val="00F92652"/>
    <w:rsid w:val="00F94551"/>
    <w:rsid w:val="00F94EFD"/>
    <w:rsid w:val="00F96D0E"/>
    <w:rsid w:val="00F96DAC"/>
    <w:rsid w:val="00F97F61"/>
    <w:rsid w:val="00FA1CFE"/>
    <w:rsid w:val="00FA1D73"/>
    <w:rsid w:val="00FA2049"/>
    <w:rsid w:val="00FA6677"/>
    <w:rsid w:val="00FA6C32"/>
    <w:rsid w:val="00FA6CFF"/>
    <w:rsid w:val="00FB2B82"/>
    <w:rsid w:val="00FB69B0"/>
    <w:rsid w:val="00FB6B09"/>
    <w:rsid w:val="00FC305F"/>
    <w:rsid w:val="00FC5F32"/>
    <w:rsid w:val="00FD472D"/>
    <w:rsid w:val="00FD641D"/>
    <w:rsid w:val="00FD6CAC"/>
    <w:rsid w:val="00FD7ABE"/>
    <w:rsid w:val="00FE145C"/>
    <w:rsid w:val="00FE242D"/>
    <w:rsid w:val="00FE6164"/>
    <w:rsid w:val="00FF01A2"/>
    <w:rsid w:val="00FF1587"/>
    <w:rsid w:val="00FF1599"/>
    <w:rsid w:val="00FF1878"/>
    <w:rsid w:val="00FF2094"/>
    <w:rsid w:val="00FF2E2D"/>
    <w:rsid w:val="00FF3936"/>
    <w:rsid w:val="00FF7A4B"/>
    <w:rsid w:val="01EA7F33"/>
    <w:rsid w:val="03CA29C7"/>
    <w:rsid w:val="0620091D"/>
    <w:rsid w:val="077324C8"/>
    <w:rsid w:val="0D604782"/>
    <w:rsid w:val="0D681B8E"/>
    <w:rsid w:val="0DB05806"/>
    <w:rsid w:val="0EBF433E"/>
    <w:rsid w:val="103A162C"/>
    <w:rsid w:val="10640272"/>
    <w:rsid w:val="10E130BF"/>
    <w:rsid w:val="1285376F"/>
    <w:rsid w:val="13645FF7"/>
    <w:rsid w:val="140B58AF"/>
    <w:rsid w:val="1423579A"/>
    <w:rsid w:val="164D3B25"/>
    <w:rsid w:val="1702234F"/>
    <w:rsid w:val="17F4515B"/>
    <w:rsid w:val="18DD50D8"/>
    <w:rsid w:val="19EB3F91"/>
    <w:rsid w:val="1A4C65B4"/>
    <w:rsid w:val="1E1B62F5"/>
    <w:rsid w:val="1ECA7392"/>
    <w:rsid w:val="202A27D1"/>
    <w:rsid w:val="203E1472"/>
    <w:rsid w:val="20F56A22"/>
    <w:rsid w:val="228429B1"/>
    <w:rsid w:val="24194FC5"/>
    <w:rsid w:val="261B3491"/>
    <w:rsid w:val="26407E4E"/>
    <w:rsid w:val="2701248A"/>
    <w:rsid w:val="28FF44CE"/>
    <w:rsid w:val="2ACA60C4"/>
    <w:rsid w:val="2E2A44CC"/>
    <w:rsid w:val="2FFF0BCF"/>
    <w:rsid w:val="30332322"/>
    <w:rsid w:val="32774ADB"/>
    <w:rsid w:val="32EF7C1D"/>
    <w:rsid w:val="33DC1E24"/>
    <w:rsid w:val="340706E9"/>
    <w:rsid w:val="34984755"/>
    <w:rsid w:val="34B51B07"/>
    <w:rsid w:val="378C1C1F"/>
    <w:rsid w:val="39AE222F"/>
    <w:rsid w:val="3A9337A6"/>
    <w:rsid w:val="3B6C3489"/>
    <w:rsid w:val="3B9001C6"/>
    <w:rsid w:val="3DCA67EC"/>
    <w:rsid w:val="3FF077F6"/>
    <w:rsid w:val="40670739"/>
    <w:rsid w:val="40C142CB"/>
    <w:rsid w:val="42936744"/>
    <w:rsid w:val="43544604"/>
    <w:rsid w:val="44027C20"/>
    <w:rsid w:val="44985B95"/>
    <w:rsid w:val="44B6424B"/>
    <w:rsid w:val="45F800DB"/>
    <w:rsid w:val="4758240A"/>
    <w:rsid w:val="4A765636"/>
    <w:rsid w:val="4ADD1B62"/>
    <w:rsid w:val="4CC20A7E"/>
    <w:rsid w:val="4E264AC2"/>
    <w:rsid w:val="4E776E4B"/>
    <w:rsid w:val="4EB124A8"/>
    <w:rsid w:val="52BE5550"/>
    <w:rsid w:val="52C54EDB"/>
    <w:rsid w:val="55FC7F21"/>
    <w:rsid w:val="564B3523"/>
    <w:rsid w:val="56A9133E"/>
    <w:rsid w:val="593C7FF3"/>
    <w:rsid w:val="5A0A51C8"/>
    <w:rsid w:val="5A5233BE"/>
    <w:rsid w:val="5B0B05EE"/>
    <w:rsid w:val="5BB3647D"/>
    <w:rsid w:val="5C641B24"/>
    <w:rsid w:val="5E8B6F2B"/>
    <w:rsid w:val="62E50DCE"/>
    <w:rsid w:val="63267639"/>
    <w:rsid w:val="637E7CC8"/>
    <w:rsid w:val="64B16DC0"/>
    <w:rsid w:val="64C612E4"/>
    <w:rsid w:val="6678672C"/>
    <w:rsid w:val="66E015D3"/>
    <w:rsid w:val="67390D68"/>
    <w:rsid w:val="683B3E0E"/>
    <w:rsid w:val="69AE3CF0"/>
    <w:rsid w:val="6AC04E32"/>
    <w:rsid w:val="6CC85207"/>
    <w:rsid w:val="6CEB66C0"/>
    <w:rsid w:val="6D26779F"/>
    <w:rsid w:val="6F457799"/>
    <w:rsid w:val="70650EF5"/>
    <w:rsid w:val="746C550D"/>
    <w:rsid w:val="74975458"/>
    <w:rsid w:val="74B72109"/>
    <w:rsid w:val="75B545AA"/>
    <w:rsid w:val="75CA4550"/>
    <w:rsid w:val="78F349FC"/>
    <w:rsid w:val="793741EC"/>
    <w:rsid w:val="79C008CD"/>
    <w:rsid w:val="7A741675"/>
    <w:rsid w:val="7AB03A59"/>
    <w:rsid w:val="7B1072F5"/>
    <w:rsid w:val="7B286B9A"/>
    <w:rsid w:val="7BD834BB"/>
    <w:rsid w:val="7CB650A7"/>
    <w:rsid w:val="7D264462"/>
    <w:rsid w:val="7E226B8E"/>
    <w:rsid w:val="7EB54B6D"/>
    <w:rsid w:val="7F874EC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1"/>
    <w:uiPriority w:val="99"/>
    <w:pPr>
      <w:autoSpaceDE w:val="0"/>
      <w:autoSpaceDN w:val="0"/>
      <w:snapToGrid w:val="0"/>
      <w:spacing w:line="590" w:lineRule="atLeast"/>
      <w:ind w:firstLine="630" w:firstLineChars="200"/>
    </w:pPr>
    <w:rPr>
      <w:kern w:val="0"/>
      <w:szCs w:val="20"/>
    </w:rPr>
  </w:style>
  <w:style w:type="paragraph" w:styleId="3">
    <w:name w:val="Balloon Text"/>
    <w:basedOn w:val="1"/>
    <w:link w:val="23"/>
    <w:semiHidden/>
    <w:qFormat/>
    <w:locked/>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1">
    <w:name w:val="Body Text Indent 2 Char"/>
    <w:basedOn w:val="7"/>
    <w:link w:val="2"/>
    <w:locked/>
    <w:uiPriority w:val="99"/>
    <w:rPr>
      <w:rFonts w:ascii="Times New Roman" w:hAnsi="Times New Roman" w:eastAsia="仿宋_GB2312" w:cs="Times New Roman"/>
      <w:kern w:val="0"/>
      <w:sz w:val="20"/>
      <w:szCs w:val="20"/>
    </w:rPr>
  </w:style>
  <w:style w:type="character" w:customStyle="1" w:styleId="12">
    <w:name w:val="Footer Char"/>
    <w:basedOn w:val="7"/>
    <w:link w:val="4"/>
    <w:semiHidden/>
    <w:locked/>
    <w:uiPriority w:val="99"/>
    <w:rPr>
      <w:rFonts w:ascii="Times New Roman" w:hAnsi="Times New Roman" w:eastAsia="仿宋_GB2312" w:cs="Times New Roman"/>
      <w:sz w:val="18"/>
      <w:szCs w:val="18"/>
    </w:rPr>
  </w:style>
  <w:style w:type="character" w:customStyle="1" w:styleId="13">
    <w:name w:val="Header Char"/>
    <w:basedOn w:val="7"/>
    <w:link w:val="5"/>
    <w:semiHidden/>
    <w:locked/>
    <w:uiPriority w:val="99"/>
    <w:rPr>
      <w:rFonts w:ascii="Times New Roman" w:hAnsi="Times New Roman" w:eastAsia="仿宋_GB2312" w:cs="Times New Roman"/>
      <w:sz w:val="18"/>
      <w:szCs w:val="18"/>
    </w:rPr>
  </w:style>
  <w:style w:type="paragraph" w:customStyle="1" w:styleId="14">
    <w:name w:val="List Paragraph1"/>
    <w:basedOn w:val="1"/>
    <w:qFormat/>
    <w:uiPriority w:val="99"/>
    <w:pPr>
      <w:ind w:firstLine="420" w:firstLineChars="200"/>
    </w:pPr>
  </w:style>
  <w:style w:type="paragraph" w:customStyle="1" w:styleId="15">
    <w:name w:val="正文1"/>
    <w:qFormat/>
    <w:uiPriority w:val="99"/>
    <w:pPr>
      <w:widowControl w:val="0"/>
      <w:jc w:val="both"/>
    </w:pPr>
    <w:rPr>
      <w:rFonts w:ascii="Times New Roman" w:hAnsi="Times New Roman" w:eastAsia="宋体" w:cs="Times New Roman"/>
      <w:kern w:val="0"/>
      <w:sz w:val="20"/>
      <w:szCs w:val="20"/>
      <w:lang w:val="en-US" w:eastAsia="zh-CN" w:bidi="ar-SA"/>
    </w:rPr>
  </w:style>
  <w:style w:type="paragraph" w:customStyle="1" w:styleId="16">
    <w:name w:val="列出段落3"/>
    <w:basedOn w:val="1"/>
    <w:qFormat/>
    <w:uiPriority w:val="99"/>
    <w:pPr>
      <w:ind w:firstLine="420" w:firstLineChars="200"/>
    </w:pPr>
  </w:style>
  <w:style w:type="paragraph" w:customStyle="1" w:styleId="17">
    <w:name w:val="纯文本2"/>
    <w:basedOn w:val="1"/>
    <w:link w:val="21"/>
    <w:qFormat/>
    <w:uiPriority w:val="99"/>
    <w:rPr>
      <w:rFonts w:ascii="宋体" w:hAnsi="Courier New"/>
      <w:sz w:val="20"/>
      <w:szCs w:val="20"/>
    </w:rPr>
  </w:style>
  <w:style w:type="paragraph" w:customStyle="1" w:styleId="18">
    <w:name w:val="纯文本1"/>
    <w:basedOn w:val="1"/>
    <w:link w:val="22"/>
    <w:qFormat/>
    <w:uiPriority w:val="99"/>
    <w:rPr>
      <w:rFonts w:ascii="宋体" w:hAnsi="Courier New" w:eastAsia="宋体" w:cs="Courier New"/>
      <w:sz w:val="21"/>
      <w:szCs w:val="21"/>
    </w:rPr>
  </w:style>
  <w:style w:type="paragraph" w:customStyle="1" w:styleId="19">
    <w:name w:val="No Spacing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20">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1">
    <w:name w:val="纯文本 Char"/>
    <w:basedOn w:val="7"/>
    <w:link w:val="17"/>
    <w:qFormat/>
    <w:locked/>
    <w:uiPriority w:val="99"/>
    <w:rPr>
      <w:rFonts w:ascii="宋体" w:hAnsi="Courier New" w:eastAsia="仿宋_GB2312" w:cs="Times New Roman"/>
      <w:sz w:val="20"/>
      <w:szCs w:val="20"/>
    </w:rPr>
  </w:style>
  <w:style w:type="character" w:customStyle="1" w:styleId="22">
    <w:name w:val="纯文本 Char1"/>
    <w:basedOn w:val="7"/>
    <w:link w:val="18"/>
    <w:qFormat/>
    <w:locked/>
    <w:uiPriority w:val="99"/>
    <w:rPr>
      <w:rFonts w:ascii="宋体" w:hAnsi="Courier New" w:cs="Courier New"/>
      <w:sz w:val="21"/>
      <w:szCs w:val="21"/>
    </w:rPr>
  </w:style>
  <w:style w:type="character" w:customStyle="1" w:styleId="23">
    <w:name w:val="Balloon Text Char"/>
    <w:basedOn w:val="7"/>
    <w:link w:val="3"/>
    <w:semiHidden/>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37</Pages>
  <Words>2263</Words>
  <Characters>12904</Characters>
  <Lines>0</Lines>
  <Paragraphs>0</Paragraphs>
  <TotalTime>0</TotalTime>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2015-11-17T06:42:00Z</dcterms:created>
  <dc:creator>admin</dc:creator>
  <cp:lastModifiedBy>lqw</cp:lastModifiedBy>
  <cp:lastPrinted>2015-11-11T02:00:00Z</cp:lastPrinted>
  <dcterms:modified xsi:type="dcterms:W3CDTF">2015-11-18T07:29:48Z</dcterms:modified>
  <dc:title>山东省医疗机构药品集中采购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