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2C" w:rsidRPr="0017616F" w:rsidRDefault="00862D2C" w:rsidP="00862D2C">
      <w:pPr>
        <w:rPr>
          <w:rFonts w:ascii="黑体" w:eastAsia="黑体" w:hAnsi="黑体"/>
          <w:sz w:val="28"/>
          <w:szCs w:val="28"/>
        </w:rPr>
      </w:pPr>
      <w:r>
        <w:rPr>
          <w:rFonts w:ascii="黑体" w:eastAsia="黑体" w:hAnsi="黑体" w:hint="eastAsia"/>
          <w:sz w:val="28"/>
          <w:szCs w:val="28"/>
        </w:rPr>
        <w:t>附件2</w:t>
      </w:r>
    </w:p>
    <w:tbl>
      <w:tblPr>
        <w:tblW w:w="14082" w:type="dxa"/>
        <w:tblLayout w:type="fixed"/>
        <w:tblCellMar>
          <w:top w:w="15" w:type="dxa"/>
          <w:left w:w="15" w:type="dxa"/>
          <w:bottom w:w="15" w:type="dxa"/>
          <w:right w:w="15" w:type="dxa"/>
        </w:tblCellMar>
        <w:tblLook w:val="0000"/>
      </w:tblPr>
      <w:tblGrid>
        <w:gridCol w:w="2247"/>
        <w:gridCol w:w="1680"/>
        <w:gridCol w:w="2751"/>
        <w:gridCol w:w="7389"/>
        <w:gridCol w:w="15"/>
      </w:tblGrid>
      <w:tr w:rsidR="00862D2C" w:rsidTr="00743F02">
        <w:trPr>
          <w:trHeight w:val="465"/>
        </w:trPr>
        <w:tc>
          <w:tcPr>
            <w:tcW w:w="14082" w:type="dxa"/>
            <w:gridSpan w:val="5"/>
            <w:tcBorders>
              <w:bottom w:val="single" w:sz="4" w:space="0" w:color="auto"/>
            </w:tcBorders>
            <w:vAlign w:val="bottom"/>
          </w:tcPr>
          <w:p w:rsidR="00862D2C" w:rsidRDefault="00862D2C" w:rsidP="00743F02">
            <w:pPr>
              <w:jc w:val="center"/>
              <w:rPr>
                <w:rFonts w:ascii="宋体" w:hAnsi="宋体" w:cs="宋体"/>
                <w:color w:val="000000"/>
                <w:sz w:val="24"/>
                <w:szCs w:val="24"/>
              </w:rPr>
            </w:pPr>
            <w:r>
              <w:rPr>
                <w:rFonts w:ascii="宋体" w:hAnsi="宋体" w:cs="宋体" w:hint="eastAsia"/>
                <w:b/>
                <w:color w:val="000000"/>
                <w:kern w:val="0"/>
                <w:sz w:val="36"/>
                <w:szCs w:val="36"/>
              </w:rPr>
              <w:t>进一步改善医疗服务行动计划考核指标（卫生计生行政部门）</w:t>
            </w:r>
          </w:p>
        </w:tc>
      </w:tr>
      <w:tr w:rsidR="00862D2C" w:rsidRPr="0091253E" w:rsidTr="00743F02">
        <w:trPr>
          <w:trHeight w:val="285"/>
        </w:trPr>
        <w:tc>
          <w:tcPr>
            <w:tcW w:w="2247"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黑体" w:eastAsia="黑体" w:hAnsi="黑体" w:cs="仿宋"/>
                <w:color w:val="000000"/>
                <w:szCs w:val="21"/>
              </w:rPr>
            </w:pPr>
            <w:r w:rsidRPr="0091253E">
              <w:rPr>
                <w:rFonts w:ascii="黑体" w:eastAsia="黑体" w:hAnsi="黑体" w:cs="仿宋" w:hint="eastAsia"/>
                <w:color w:val="000000"/>
                <w:kern w:val="0"/>
                <w:szCs w:val="21"/>
              </w:rPr>
              <w:t>一级指标</w:t>
            </w: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黑体" w:eastAsia="黑体" w:hAnsi="黑体" w:cs="仿宋"/>
                <w:color w:val="000000"/>
                <w:szCs w:val="21"/>
              </w:rPr>
            </w:pPr>
            <w:r w:rsidRPr="0091253E">
              <w:rPr>
                <w:rFonts w:ascii="黑体" w:eastAsia="黑体" w:hAnsi="黑体" w:cs="仿宋" w:hint="eastAsia"/>
                <w:color w:val="000000"/>
                <w:kern w:val="0"/>
                <w:szCs w:val="21"/>
              </w:rPr>
              <w:t>二级指标</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黑体" w:eastAsia="黑体" w:hAnsi="黑体" w:cs="仿宋"/>
                <w:color w:val="000000"/>
                <w:szCs w:val="21"/>
              </w:rPr>
            </w:pPr>
            <w:r w:rsidRPr="0091253E">
              <w:rPr>
                <w:rFonts w:ascii="黑体" w:eastAsia="黑体" w:hAnsi="黑体" w:cs="仿宋" w:hint="eastAsia"/>
                <w:color w:val="000000"/>
                <w:kern w:val="0"/>
                <w:szCs w:val="21"/>
              </w:rPr>
              <w:t>三级指标</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黑体" w:eastAsia="黑体" w:hAnsi="黑体" w:cs="仿宋"/>
                <w:color w:val="000000"/>
                <w:sz w:val="23"/>
                <w:szCs w:val="23"/>
              </w:rPr>
            </w:pPr>
            <w:r w:rsidRPr="0091253E">
              <w:rPr>
                <w:rFonts w:ascii="黑体" w:eastAsia="黑体" w:hAnsi="黑体" w:cs="仿宋" w:hint="eastAsia"/>
                <w:color w:val="000000"/>
                <w:kern w:val="0"/>
                <w:szCs w:val="21"/>
              </w:rPr>
              <w:t>执行标准</w:t>
            </w:r>
          </w:p>
        </w:tc>
      </w:tr>
      <w:tr w:rsidR="00862D2C" w:rsidTr="00743F02">
        <w:trPr>
          <w:trHeight w:val="656"/>
        </w:trPr>
        <w:tc>
          <w:tcPr>
            <w:tcW w:w="2247"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推进预约诊疗服务，有效分流就诊患者（1分）</w:t>
            </w: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推进分级转诊情况（1分）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预约平台情况（1分）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区域内建设有预约平台的得满分1分，未有不得分</w:t>
            </w:r>
          </w:p>
        </w:tc>
      </w:tr>
      <w:tr w:rsidR="00862D2C" w:rsidTr="00743F02">
        <w:trPr>
          <w:trHeight w:val="665"/>
        </w:trPr>
        <w:tc>
          <w:tcPr>
            <w:tcW w:w="2247" w:type="dxa"/>
            <w:vMerge w:val="restart"/>
            <w:tcBorders>
              <w:top w:val="single" w:sz="4" w:space="0" w:color="auto"/>
              <w:left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合理调配诊疗资源，畅通急诊绿色通道（2分）</w:t>
            </w:r>
          </w:p>
        </w:tc>
        <w:tc>
          <w:tcPr>
            <w:tcW w:w="1680" w:type="dxa"/>
            <w:vMerge w:val="restart"/>
            <w:tcBorders>
              <w:top w:val="single" w:sz="4" w:space="0" w:color="auto"/>
              <w:left w:val="single" w:sz="4" w:space="0" w:color="auto"/>
              <w:right w:val="single" w:sz="4" w:space="0" w:color="auto"/>
            </w:tcBorders>
            <w:vAlign w:val="center"/>
          </w:tcPr>
          <w:p w:rsidR="00862D2C"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实施急慢分治</w:t>
            </w:r>
          </w:p>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（2分）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慢病下沉社区情况（1分）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抽取3个医院，共询问30个慢病病人，之前有无到社区就诊的情况，若60%的慢病病人经社区转诊则得满分1分；40%-60%得0.6分；20%-40%得0.2分，20%以下不得分</w:t>
            </w:r>
          </w:p>
        </w:tc>
      </w:tr>
      <w:tr w:rsidR="00862D2C" w:rsidTr="00743F02">
        <w:trPr>
          <w:trHeight w:val="292"/>
        </w:trPr>
        <w:tc>
          <w:tcPr>
            <w:tcW w:w="2247" w:type="dxa"/>
            <w:vMerge/>
            <w:tcBorders>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vMerge/>
            <w:tcBorders>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二级以上医院与基层医疗卫生机构用药目录衔接情况（1分）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区域内有相关用药目录衔接的政策</w:t>
            </w:r>
            <w:proofErr w:type="gramStart"/>
            <w:r w:rsidRPr="0091253E">
              <w:rPr>
                <w:rFonts w:ascii="仿宋_GB2312" w:eastAsia="仿宋_GB2312" w:hAnsi="仿宋" w:cs="仿宋" w:hint="eastAsia"/>
                <w:color w:val="000000"/>
                <w:kern w:val="0"/>
                <w:szCs w:val="21"/>
              </w:rPr>
              <w:t>得基础分</w:t>
            </w:r>
            <w:proofErr w:type="gramEnd"/>
            <w:r w:rsidRPr="0091253E">
              <w:rPr>
                <w:rFonts w:ascii="仿宋_GB2312" w:eastAsia="仿宋_GB2312" w:hAnsi="仿宋" w:cs="仿宋" w:hint="eastAsia"/>
                <w:color w:val="000000"/>
                <w:kern w:val="0"/>
                <w:szCs w:val="21"/>
              </w:rPr>
              <w:t>0.5分；有政策有执行得1分；未有政策不得分</w:t>
            </w:r>
          </w:p>
        </w:tc>
      </w:tr>
      <w:tr w:rsidR="00862D2C" w:rsidTr="00743F02">
        <w:trPr>
          <w:trHeight w:val="306"/>
        </w:trPr>
        <w:tc>
          <w:tcPr>
            <w:tcW w:w="2247"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发挥信息技术优势，改善患者就医体验（1分）</w:t>
            </w: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信息化建设情况（1分）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信息化建设情况（1分）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区域内有互联互通信息库得满分1分，未有不得分</w:t>
            </w:r>
          </w:p>
        </w:tc>
      </w:tr>
      <w:tr w:rsidR="00862D2C" w:rsidTr="00743F02">
        <w:trPr>
          <w:trHeight w:val="500"/>
        </w:trPr>
        <w:tc>
          <w:tcPr>
            <w:tcW w:w="2247" w:type="dxa"/>
            <w:vMerge w:val="restart"/>
            <w:tcBorders>
              <w:top w:val="single" w:sz="4" w:space="0" w:color="auto"/>
              <w:left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规范诊疗行为，保障医疗安全（2分）</w:t>
            </w:r>
          </w:p>
        </w:tc>
        <w:tc>
          <w:tcPr>
            <w:tcW w:w="1680" w:type="dxa"/>
            <w:vMerge w:val="restart"/>
            <w:tcBorders>
              <w:top w:val="single" w:sz="4" w:space="0" w:color="auto"/>
              <w:left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检查结果互认</w:t>
            </w:r>
          </w:p>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（2分）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医疗机构检查、检验结果互认情况（1分）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卫生行政部门出台推动医院检查、检验结果互认政策，且相关医疗机构能提供执行记录得满分1分；有政策无记录或有记录无政策得0.6分；均无不得分</w:t>
            </w:r>
          </w:p>
        </w:tc>
      </w:tr>
      <w:tr w:rsidR="00862D2C" w:rsidTr="00743F02">
        <w:trPr>
          <w:trHeight w:val="241"/>
        </w:trPr>
        <w:tc>
          <w:tcPr>
            <w:tcW w:w="2247" w:type="dxa"/>
            <w:vMerge/>
            <w:tcBorders>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vMerge/>
            <w:tcBorders>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利用远程医疗手段为基层医疗机构和就诊患者提供检查检验服务情况（1分）</w:t>
            </w:r>
          </w:p>
        </w:tc>
        <w:tc>
          <w:tcPr>
            <w:tcW w:w="7404" w:type="dxa"/>
            <w:gridSpan w:val="2"/>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卫生行政部门有相关政策，且相关医疗机构能提供执行记录得满分1分；有政策无记录或有记录无政策得0.6分；均无不得分</w:t>
            </w:r>
          </w:p>
        </w:tc>
      </w:tr>
      <w:tr w:rsidR="00862D2C" w:rsidTr="00743F02">
        <w:trPr>
          <w:gridAfter w:val="1"/>
          <w:wAfter w:w="15" w:type="dxa"/>
          <w:trHeight w:val="898"/>
        </w:trPr>
        <w:tc>
          <w:tcPr>
            <w:tcW w:w="2247" w:type="dxa"/>
            <w:vMerge w:val="restart"/>
            <w:tcBorders>
              <w:top w:val="single" w:sz="4" w:space="0" w:color="auto"/>
              <w:left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妥善化解医疗纠纷，构建和谐医患关系（4分）</w:t>
            </w:r>
          </w:p>
        </w:tc>
        <w:tc>
          <w:tcPr>
            <w:tcW w:w="1680" w:type="dxa"/>
            <w:vMerge w:val="restart"/>
            <w:tcBorders>
              <w:top w:val="single" w:sz="4" w:space="0" w:color="auto"/>
              <w:left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推进三调解</w:t>
            </w:r>
          </w:p>
          <w:p w:rsidR="00862D2C" w:rsidRPr="0091253E" w:rsidRDefault="00862D2C" w:rsidP="00743F02">
            <w:pPr>
              <w:widowControl/>
              <w:jc w:val="center"/>
              <w:textAlignment w:val="center"/>
              <w:rPr>
                <w:rFonts w:ascii="仿宋_GB2312" w:eastAsia="仿宋_GB2312" w:hAnsi="仿宋" w:cs="仿宋"/>
                <w:color w:val="000000"/>
                <w:szCs w:val="21"/>
              </w:rPr>
            </w:pPr>
            <w:proofErr w:type="gramStart"/>
            <w:r w:rsidRPr="0091253E">
              <w:rPr>
                <w:rFonts w:ascii="仿宋_GB2312" w:eastAsia="仿宋_GB2312" w:hAnsi="仿宋" w:cs="仿宋" w:hint="eastAsia"/>
                <w:color w:val="000000"/>
                <w:kern w:val="0"/>
                <w:szCs w:val="21"/>
              </w:rPr>
              <w:t>一</w:t>
            </w:r>
            <w:proofErr w:type="gramEnd"/>
            <w:r w:rsidRPr="0091253E">
              <w:rPr>
                <w:rFonts w:ascii="仿宋_GB2312" w:eastAsia="仿宋_GB2312" w:hAnsi="仿宋" w:cs="仿宋" w:hint="eastAsia"/>
                <w:color w:val="000000"/>
                <w:kern w:val="0"/>
                <w:szCs w:val="21"/>
              </w:rPr>
              <w:t>保险机制建设</w:t>
            </w:r>
            <w:r w:rsidRPr="0091253E">
              <w:rPr>
                <w:rFonts w:ascii="仿宋_GB2312" w:eastAsia="仿宋_GB2312" w:hAnsi="仿宋" w:cs="仿宋" w:hint="eastAsia"/>
                <w:color w:val="000000"/>
                <w:kern w:val="0"/>
                <w:szCs w:val="21"/>
              </w:rPr>
              <w:lastRenderedPageBreak/>
              <w:t>（4分）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lastRenderedPageBreak/>
              <w:t>医疗纠纷人民调解工作覆盖率（2分）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覆盖率超过90%得满分2分，70%-90%得1.6分，60%-70%得1.2分，低于60%不得分</w:t>
            </w:r>
          </w:p>
        </w:tc>
      </w:tr>
      <w:tr w:rsidR="00862D2C" w:rsidTr="00743F02">
        <w:trPr>
          <w:gridAfter w:val="1"/>
          <w:wAfter w:w="15" w:type="dxa"/>
          <w:trHeight w:val="1047"/>
        </w:trPr>
        <w:tc>
          <w:tcPr>
            <w:tcW w:w="2247" w:type="dxa"/>
            <w:vMerge/>
            <w:tcBorders>
              <w:left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vMerge/>
            <w:tcBorders>
              <w:left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2751" w:type="dxa"/>
            <w:tcBorders>
              <w:top w:val="single" w:sz="4" w:space="0" w:color="auto"/>
              <w:left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医院医疗责任保险和医疗风险互助金参保率（2分）</w:t>
            </w:r>
          </w:p>
        </w:tc>
        <w:tc>
          <w:tcPr>
            <w:tcW w:w="7389" w:type="dxa"/>
            <w:tcBorders>
              <w:top w:val="single" w:sz="4" w:space="0" w:color="auto"/>
              <w:left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二级以上医院参保率超过90%得满分2分，70%-90%得1.6分，60%-70%得1.2分，低于60%不得分</w:t>
            </w:r>
          </w:p>
        </w:tc>
      </w:tr>
      <w:tr w:rsidR="00862D2C" w:rsidTr="00743F02">
        <w:trPr>
          <w:gridAfter w:val="1"/>
          <w:wAfter w:w="15" w:type="dxa"/>
          <w:trHeight w:val="55"/>
        </w:trPr>
        <w:tc>
          <w:tcPr>
            <w:tcW w:w="2247" w:type="dxa"/>
            <w:vMerge w:val="restart"/>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lastRenderedPageBreak/>
              <w:t>落实政府管理责任，营造良好工作环境(10分)</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认真组织落实</w:t>
            </w:r>
          </w:p>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（4分）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规划情况（1分）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有时间表和路线图得满分1分；时间表/路线图有1项得0.6分；均无不得分</w:t>
            </w:r>
          </w:p>
        </w:tc>
      </w:tr>
      <w:tr w:rsidR="00862D2C" w:rsidTr="00743F02">
        <w:trPr>
          <w:gridAfter w:val="1"/>
          <w:wAfter w:w="15" w:type="dxa"/>
          <w:trHeight w:val="515"/>
        </w:trPr>
        <w:tc>
          <w:tcPr>
            <w:tcW w:w="2247" w:type="dxa"/>
            <w:vMerge/>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效果评价情况（3分）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有评价方案且有评价报告得满分3分，有评价方案无评价报告得1.8分，</w:t>
            </w:r>
            <w:proofErr w:type="gramStart"/>
            <w:r w:rsidRPr="0091253E">
              <w:rPr>
                <w:rFonts w:ascii="仿宋_GB2312" w:eastAsia="仿宋_GB2312" w:hAnsi="仿宋" w:cs="仿宋" w:hint="eastAsia"/>
                <w:color w:val="000000"/>
                <w:kern w:val="0"/>
                <w:szCs w:val="21"/>
              </w:rPr>
              <w:t>无方案无报告</w:t>
            </w:r>
            <w:proofErr w:type="gramEnd"/>
            <w:r w:rsidRPr="0091253E">
              <w:rPr>
                <w:rFonts w:ascii="仿宋_GB2312" w:eastAsia="仿宋_GB2312" w:hAnsi="仿宋" w:cs="仿宋" w:hint="eastAsia"/>
                <w:color w:val="000000"/>
                <w:kern w:val="0"/>
                <w:szCs w:val="21"/>
              </w:rPr>
              <w:t>不得分；需提供评价报告和公布情况</w:t>
            </w:r>
          </w:p>
        </w:tc>
      </w:tr>
      <w:tr w:rsidR="00862D2C" w:rsidTr="00743F02">
        <w:trPr>
          <w:gridAfter w:val="1"/>
          <w:wAfter w:w="15" w:type="dxa"/>
          <w:trHeight w:val="488"/>
        </w:trPr>
        <w:tc>
          <w:tcPr>
            <w:tcW w:w="2247" w:type="dxa"/>
            <w:vMerge/>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助力深化改革</w:t>
            </w:r>
          </w:p>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（2分）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与</w:t>
            </w:r>
            <w:proofErr w:type="gramStart"/>
            <w:r w:rsidRPr="0091253E">
              <w:rPr>
                <w:rFonts w:ascii="仿宋_GB2312" w:eastAsia="仿宋_GB2312" w:hAnsi="仿宋" w:cs="仿宋" w:hint="eastAsia"/>
                <w:color w:val="000000"/>
                <w:kern w:val="0"/>
                <w:szCs w:val="21"/>
              </w:rPr>
              <w:t>医</w:t>
            </w:r>
            <w:proofErr w:type="gramEnd"/>
            <w:r w:rsidRPr="0091253E">
              <w:rPr>
                <w:rFonts w:ascii="仿宋_GB2312" w:eastAsia="仿宋_GB2312" w:hAnsi="仿宋" w:cs="仿宋" w:hint="eastAsia"/>
                <w:color w:val="000000"/>
                <w:kern w:val="0"/>
                <w:szCs w:val="21"/>
              </w:rPr>
              <w:t>改同步推进情况</w:t>
            </w:r>
          </w:p>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（2分）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有成效有部署得满分2分；有部署成效不佳得1分；</w:t>
            </w:r>
            <w:proofErr w:type="gramStart"/>
            <w:r w:rsidRPr="0091253E">
              <w:rPr>
                <w:rFonts w:ascii="仿宋_GB2312" w:eastAsia="仿宋_GB2312" w:hAnsi="仿宋" w:cs="仿宋" w:hint="eastAsia"/>
                <w:color w:val="000000"/>
                <w:kern w:val="0"/>
                <w:szCs w:val="21"/>
              </w:rPr>
              <w:t>无部署无</w:t>
            </w:r>
            <w:proofErr w:type="gramEnd"/>
            <w:r w:rsidRPr="0091253E">
              <w:rPr>
                <w:rFonts w:ascii="仿宋_GB2312" w:eastAsia="仿宋_GB2312" w:hAnsi="仿宋" w:cs="仿宋" w:hint="eastAsia"/>
                <w:color w:val="000000"/>
                <w:kern w:val="0"/>
                <w:szCs w:val="21"/>
              </w:rPr>
              <w:t>成效不得分。需现场汇报</w:t>
            </w:r>
          </w:p>
        </w:tc>
      </w:tr>
      <w:tr w:rsidR="00862D2C" w:rsidTr="00743F02">
        <w:trPr>
          <w:gridAfter w:val="1"/>
          <w:wAfter w:w="15" w:type="dxa"/>
          <w:trHeight w:val="443"/>
        </w:trPr>
        <w:tc>
          <w:tcPr>
            <w:tcW w:w="2247" w:type="dxa"/>
            <w:vMerge/>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发挥典型示范</w:t>
            </w:r>
          </w:p>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作用（2分）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树立典型情况（2分）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有典型且有区域内宣传推广措施得满分2分，有典型</w:t>
            </w:r>
            <w:proofErr w:type="gramStart"/>
            <w:r w:rsidRPr="0091253E">
              <w:rPr>
                <w:rFonts w:ascii="仿宋_GB2312" w:eastAsia="仿宋_GB2312" w:hAnsi="仿宋" w:cs="仿宋" w:hint="eastAsia"/>
                <w:color w:val="000000"/>
                <w:kern w:val="0"/>
                <w:szCs w:val="21"/>
              </w:rPr>
              <w:t>未推广</w:t>
            </w:r>
            <w:proofErr w:type="gramEnd"/>
            <w:r w:rsidRPr="0091253E">
              <w:rPr>
                <w:rFonts w:ascii="仿宋_GB2312" w:eastAsia="仿宋_GB2312" w:hAnsi="仿宋" w:cs="仿宋" w:hint="eastAsia"/>
                <w:color w:val="000000"/>
                <w:kern w:val="0"/>
                <w:szCs w:val="21"/>
              </w:rPr>
              <w:t>得1.2分，无典型不得分；需出示典型示范实际案例</w:t>
            </w:r>
          </w:p>
        </w:tc>
      </w:tr>
      <w:tr w:rsidR="00862D2C" w:rsidTr="00743F02">
        <w:trPr>
          <w:gridAfter w:val="1"/>
          <w:wAfter w:w="15" w:type="dxa"/>
          <w:trHeight w:val="382"/>
        </w:trPr>
        <w:tc>
          <w:tcPr>
            <w:tcW w:w="2247" w:type="dxa"/>
            <w:vMerge/>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jc w:val="center"/>
              <w:rPr>
                <w:rFonts w:ascii="仿宋_GB2312" w:eastAsia="仿宋_GB2312" w:hAnsi="仿宋" w:cs="仿宋"/>
                <w:color w:val="000000"/>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center"/>
              <w:textAlignment w:val="center"/>
              <w:rPr>
                <w:rFonts w:ascii="仿宋_GB2312" w:eastAsia="仿宋_GB2312" w:hAnsi="仿宋" w:cs="仿宋"/>
                <w:color w:val="000000"/>
                <w:kern w:val="0"/>
                <w:szCs w:val="21"/>
              </w:rPr>
            </w:pPr>
            <w:r w:rsidRPr="0091253E">
              <w:rPr>
                <w:rFonts w:ascii="仿宋_GB2312" w:eastAsia="仿宋_GB2312" w:hAnsi="仿宋" w:cs="仿宋" w:hint="eastAsia"/>
                <w:color w:val="000000"/>
                <w:kern w:val="0"/>
                <w:szCs w:val="21"/>
              </w:rPr>
              <w:t>加强宣传指导</w:t>
            </w:r>
          </w:p>
          <w:p w:rsidR="00862D2C" w:rsidRPr="0091253E" w:rsidRDefault="00862D2C" w:rsidP="00743F02">
            <w:pPr>
              <w:widowControl/>
              <w:jc w:val="center"/>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（2分）</w:t>
            </w:r>
          </w:p>
        </w:tc>
        <w:tc>
          <w:tcPr>
            <w:tcW w:w="2751"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widowControl/>
              <w:jc w:val="left"/>
              <w:textAlignment w:val="center"/>
              <w:rPr>
                <w:rFonts w:ascii="仿宋_GB2312" w:eastAsia="仿宋_GB2312" w:hAnsi="仿宋" w:cs="仿宋"/>
                <w:color w:val="000000"/>
                <w:szCs w:val="21"/>
              </w:rPr>
            </w:pPr>
            <w:r w:rsidRPr="0091253E">
              <w:rPr>
                <w:rFonts w:ascii="仿宋_GB2312" w:eastAsia="仿宋_GB2312" w:hAnsi="仿宋" w:cs="仿宋" w:hint="eastAsia"/>
                <w:color w:val="000000"/>
                <w:kern w:val="0"/>
                <w:szCs w:val="21"/>
              </w:rPr>
              <w:t>宣传情况（2分）</w:t>
            </w:r>
          </w:p>
        </w:tc>
        <w:tc>
          <w:tcPr>
            <w:tcW w:w="7389" w:type="dxa"/>
            <w:tcBorders>
              <w:top w:val="single" w:sz="4" w:space="0" w:color="auto"/>
              <w:left w:val="single" w:sz="4" w:space="0" w:color="auto"/>
              <w:bottom w:val="single" w:sz="4" w:space="0" w:color="auto"/>
              <w:right w:val="single" w:sz="4" w:space="0" w:color="auto"/>
            </w:tcBorders>
            <w:vAlign w:val="center"/>
          </w:tcPr>
          <w:p w:rsidR="00862D2C" w:rsidRPr="0091253E" w:rsidRDefault="00862D2C" w:rsidP="00743F02">
            <w:pPr>
              <w:rPr>
                <w:rFonts w:ascii="仿宋_GB2312" w:eastAsia="仿宋_GB2312" w:hAnsi="宋体" w:cs="宋体"/>
                <w:color w:val="000000"/>
                <w:sz w:val="24"/>
                <w:szCs w:val="24"/>
              </w:rPr>
            </w:pPr>
            <w:r w:rsidRPr="0091253E">
              <w:rPr>
                <w:rFonts w:ascii="仿宋_GB2312" w:eastAsia="仿宋_GB2312" w:hAnsi="仿宋" w:cs="仿宋" w:hint="eastAsia"/>
                <w:color w:val="000000"/>
                <w:kern w:val="0"/>
                <w:szCs w:val="21"/>
              </w:rPr>
              <w:t>当地媒体有宣传的得1.2分，每增加1种宣传手段的加0.4分，满分2分；需提供当地媒体宣传材料</w:t>
            </w:r>
          </w:p>
        </w:tc>
      </w:tr>
    </w:tbl>
    <w:p w:rsidR="00862D2C" w:rsidRDefault="00862D2C" w:rsidP="00862D2C">
      <w:pPr>
        <w:rPr>
          <w:rFonts w:ascii="黑体" w:eastAsia="黑体" w:hAnsi="黑体"/>
          <w:sz w:val="28"/>
        </w:rPr>
      </w:pPr>
    </w:p>
    <w:p w:rsidR="00862D2C" w:rsidRDefault="00862D2C" w:rsidP="00862D2C">
      <w:pPr>
        <w:rPr>
          <w:rFonts w:ascii="黑体" w:eastAsia="黑体" w:hAnsi="黑体"/>
          <w:sz w:val="28"/>
        </w:rPr>
      </w:pPr>
    </w:p>
    <w:p w:rsidR="00862D2C" w:rsidRDefault="00862D2C" w:rsidP="00862D2C">
      <w:pPr>
        <w:rPr>
          <w:rFonts w:ascii="黑体" w:eastAsia="黑体" w:hAnsi="黑体"/>
          <w:sz w:val="28"/>
        </w:rPr>
      </w:pPr>
    </w:p>
    <w:p w:rsidR="00862D2C" w:rsidRDefault="00862D2C" w:rsidP="00862D2C">
      <w:pPr>
        <w:rPr>
          <w:rFonts w:ascii="黑体" w:eastAsia="黑体" w:hAnsi="黑体"/>
          <w:sz w:val="28"/>
        </w:rPr>
      </w:pPr>
    </w:p>
    <w:p w:rsidR="00862D2C" w:rsidRDefault="00862D2C" w:rsidP="00862D2C">
      <w:pPr>
        <w:rPr>
          <w:rFonts w:ascii="黑体" w:eastAsia="黑体" w:hAnsi="黑体"/>
          <w:sz w:val="28"/>
        </w:rPr>
      </w:pPr>
    </w:p>
    <w:p w:rsidR="00862D2C" w:rsidRDefault="00862D2C" w:rsidP="00862D2C">
      <w:pPr>
        <w:rPr>
          <w:rFonts w:ascii="黑体" w:eastAsia="黑体" w:hAnsi="黑体"/>
          <w:sz w:val="28"/>
        </w:rPr>
      </w:pPr>
    </w:p>
    <w:p w:rsidR="0066686C" w:rsidRPr="00862D2C" w:rsidRDefault="0066686C"/>
    <w:sectPr w:rsidR="0066686C" w:rsidRPr="00862D2C" w:rsidSect="00862D2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6D" w:rsidRDefault="00C7036D" w:rsidP="00862D2C">
      <w:r>
        <w:separator/>
      </w:r>
    </w:p>
  </w:endnote>
  <w:endnote w:type="continuationSeparator" w:id="0">
    <w:p w:rsidR="00C7036D" w:rsidRDefault="00C7036D" w:rsidP="00862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6D" w:rsidRDefault="00C7036D" w:rsidP="00862D2C">
      <w:r>
        <w:separator/>
      </w:r>
    </w:p>
  </w:footnote>
  <w:footnote w:type="continuationSeparator" w:id="0">
    <w:p w:rsidR="00C7036D" w:rsidRDefault="00C7036D" w:rsidP="00862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2D2C"/>
    <w:rsid w:val="0066686C"/>
    <w:rsid w:val="00862D2C"/>
    <w:rsid w:val="00C703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2D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2D2C"/>
    <w:rPr>
      <w:sz w:val="18"/>
      <w:szCs w:val="18"/>
    </w:rPr>
  </w:style>
  <w:style w:type="paragraph" w:styleId="a4">
    <w:name w:val="footer"/>
    <w:basedOn w:val="a"/>
    <w:link w:val="Char0"/>
    <w:uiPriority w:val="99"/>
    <w:semiHidden/>
    <w:unhideWhenUsed/>
    <w:rsid w:val="00862D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62D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2015-12-10T02:16:00Z</dcterms:created>
  <dcterms:modified xsi:type="dcterms:W3CDTF">2015-12-10T02:16:00Z</dcterms:modified>
</cp:coreProperties>
</file>