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关于抽验不合格、违规广告及严重药害事件等不良记录起止时间计算</w:t>
      </w:r>
      <w:r>
        <w:rPr>
          <w:rFonts w:hint="eastAsia" w:ascii="华文中宋" w:hAnsi="华文中宋" w:eastAsia="华文中宋"/>
          <w:sz w:val="44"/>
          <w:szCs w:val="44"/>
          <w:lang w:eastAsia="zh-CN"/>
        </w:rPr>
        <w:t>原则</w:t>
      </w:r>
      <w:r>
        <w:rPr>
          <w:rFonts w:hint="eastAsia" w:ascii="华文中宋" w:hAnsi="华文中宋" w:eastAsia="华文中宋"/>
          <w:sz w:val="44"/>
          <w:szCs w:val="44"/>
        </w:rPr>
        <w:t>和处理流程有关事宜的说明</w:t>
      </w:r>
    </w:p>
    <w:p>
      <w:pPr>
        <w:ind w:firstLine="645"/>
        <w:rPr>
          <w:rFonts w:ascii="仿宋" w:hAnsi="仿宋" w:eastAsia="仿宋"/>
          <w:sz w:val="32"/>
          <w:szCs w:val="32"/>
        </w:rPr>
      </w:pPr>
      <w:r>
        <w:rPr>
          <w:rFonts w:hint="eastAsia" w:ascii="仿宋" w:hAnsi="仿宋" w:eastAsia="仿宋"/>
          <w:sz w:val="32"/>
          <w:szCs w:val="32"/>
        </w:rPr>
        <w:t>根据《关于我市公立医疗机构医药产品阳光采购工作实施方案》和领导小组办公室会议精神，现就我市药品阳光采购工作中抽样检验不合格的品种、在北京地区屡次发布严重违规广告及发生严重药害事件等不良记录的产品及企业的起止时间计算</w:t>
      </w:r>
      <w:r>
        <w:rPr>
          <w:rFonts w:hint="eastAsia" w:ascii="仿宋" w:hAnsi="仿宋" w:eastAsia="仿宋"/>
          <w:sz w:val="32"/>
          <w:szCs w:val="32"/>
          <w:lang w:eastAsia="zh-CN"/>
        </w:rPr>
        <w:t>原则</w:t>
      </w:r>
      <w:bookmarkStart w:id="0" w:name="_GoBack"/>
      <w:bookmarkEnd w:id="0"/>
      <w:r>
        <w:rPr>
          <w:rFonts w:hint="eastAsia" w:ascii="仿宋" w:hAnsi="仿宋" w:eastAsia="仿宋"/>
          <w:sz w:val="32"/>
          <w:szCs w:val="32"/>
        </w:rPr>
        <w:t>和处理流程等有关事宜予以说明：</w:t>
      </w:r>
    </w:p>
    <w:p>
      <w:pPr>
        <w:ind w:firstLine="645"/>
        <w:rPr>
          <w:rFonts w:ascii="黑体" w:hAnsi="黑体" w:eastAsia="黑体"/>
          <w:sz w:val="32"/>
          <w:szCs w:val="32"/>
        </w:rPr>
      </w:pPr>
      <w:r>
        <w:rPr>
          <w:rFonts w:hint="eastAsia" w:ascii="黑体" w:hAnsi="黑体" w:eastAsia="黑体"/>
          <w:sz w:val="32"/>
          <w:szCs w:val="32"/>
        </w:rPr>
        <w:t>一、药品抽验的情况</w:t>
      </w:r>
    </w:p>
    <w:p>
      <w:pPr>
        <w:ind w:firstLine="645"/>
        <w:rPr>
          <w:rFonts w:ascii="仿宋" w:hAnsi="仿宋" w:eastAsia="仿宋"/>
          <w:sz w:val="32"/>
          <w:szCs w:val="32"/>
        </w:rPr>
      </w:pPr>
      <w:r>
        <w:rPr>
          <w:rFonts w:hint="eastAsia" w:ascii="仿宋" w:hAnsi="仿宋" w:eastAsia="仿宋"/>
          <w:sz w:val="32"/>
          <w:szCs w:val="32"/>
        </w:rPr>
        <w:t>按照国家食药总局、市食药局官网公布的药品抽验相关公告，对于在生产环节抽样检验不合格的品种，我市公立医疗机构2年内不得采购该品种，并在该企业其他产品参加阳光采购经济技术标评审时，扣除企业信誉得分；对于在流通使用环节抽样检验不合格的品种，对该品种参加阳光采购经济技术标评审时，扣除产品信誉得分。</w:t>
      </w:r>
    </w:p>
    <w:p>
      <w:pPr>
        <w:ind w:firstLine="645"/>
        <w:rPr>
          <w:rFonts w:ascii="仿宋" w:hAnsi="仿宋" w:eastAsia="仿宋"/>
          <w:sz w:val="32"/>
          <w:szCs w:val="32"/>
        </w:rPr>
      </w:pPr>
      <w:r>
        <w:rPr>
          <w:rFonts w:hint="eastAsia" w:ascii="仿宋" w:hAnsi="仿宋" w:eastAsia="仿宋"/>
          <w:sz w:val="32"/>
          <w:szCs w:val="32"/>
        </w:rPr>
        <w:t>此类情况起止时间计算原则，以国家食药总局或市食药局公告发文日期为起点计算2年时间。</w:t>
      </w:r>
    </w:p>
    <w:p>
      <w:pPr>
        <w:ind w:firstLine="645"/>
        <w:rPr>
          <w:rFonts w:ascii="黑体" w:hAnsi="黑体" w:eastAsia="黑体"/>
          <w:sz w:val="32"/>
          <w:szCs w:val="32"/>
        </w:rPr>
      </w:pPr>
      <w:r>
        <w:rPr>
          <w:rFonts w:hint="eastAsia" w:ascii="黑体" w:hAnsi="黑体" w:eastAsia="黑体"/>
          <w:sz w:val="32"/>
          <w:szCs w:val="32"/>
        </w:rPr>
        <w:t>二、药品违规广告的情况</w:t>
      </w:r>
    </w:p>
    <w:p>
      <w:pPr>
        <w:ind w:firstLine="645"/>
        <w:rPr>
          <w:rFonts w:ascii="仿宋" w:hAnsi="仿宋" w:eastAsia="仿宋"/>
          <w:sz w:val="32"/>
          <w:szCs w:val="32"/>
        </w:rPr>
      </w:pPr>
      <w:r>
        <w:rPr>
          <w:rFonts w:hint="eastAsia" w:ascii="仿宋" w:hAnsi="仿宋" w:eastAsia="仿宋"/>
          <w:sz w:val="32"/>
          <w:szCs w:val="32"/>
        </w:rPr>
        <w:t>对于在北京地区屡次发布严重违规广告的企业，我市公立医疗机构2年内不得采购该企业所有品种。</w:t>
      </w:r>
    </w:p>
    <w:p>
      <w:pPr>
        <w:ind w:firstLine="645"/>
        <w:rPr>
          <w:rFonts w:ascii="仿宋" w:hAnsi="仿宋" w:eastAsia="仿宋"/>
          <w:sz w:val="32"/>
          <w:szCs w:val="32"/>
        </w:rPr>
      </w:pPr>
      <w:r>
        <w:rPr>
          <w:rFonts w:hint="eastAsia" w:ascii="仿宋" w:hAnsi="仿宋" w:eastAsia="仿宋"/>
          <w:sz w:val="32"/>
          <w:szCs w:val="32"/>
        </w:rPr>
        <w:t>此类情况起止时间计算原则，以相关部门提供的该企业最后一次发布严重违规广告公告的发文时间为起始点计算2年时间。</w:t>
      </w:r>
    </w:p>
    <w:p>
      <w:pPr>
        <w:ind w:firstLine="645"/>
        <w:rPr>
          <w:rFonts w:ascii="黑体" w:hAnsi="黑体" w:eastAsia="黑体"/>
          <w:sz w:val="32"/>
          <w:szCs w:val="32"/>
        </w:rPr>
      </w:pPr>
      <w:r>
        <w:rPr>
          <w:rFonts w:hint="eastAsia" w:ascii="黑体" w:hAnsi="黑体" w:eastAsia="黑体"/>
          <w:sz w:val="32"/>
          <w:szCs w:val="32"/>
        </w:rPr>
        <w:t>三、严重药害事件的情况</w:t>
      </w:r>
    </w:p>
    <w:p>
      <w:pPr>
        <w:ind w:firstLine="645"/>
        <w:rPr>
          <w:rFonts w:ascii="仿宋" w:hAnsi="仿宋" w:eastAsia="仿宋"/>
          <w:sz w:val="32"/>
          <w:szCs w:val="32"/>
        </w:rPr>
      </w:pPr>
      <w:r>
        <w:rPr>
          <w:rFonts w:hint="eastAsia" w:ascii="仿宋" w:hAnsi="仿宋" w:eastAsia="仿宋"/>
          <w:sz w:val="32"/>
          <w:szCs w:val="32"/>
        </w:rPr>
        <w:t>市食药局认定的严重药害事件，将由市食药局发函给市卫生计生委；市卫生计生委按照工作实施方案规定的原则处理。对于发生严重药害事件并产生重大社会影响的企业，我市公立医疗机构2年内不得采购该企业所有品种。</w:t>
      </w:r>
    </w:p>
    <w:p>
      <w:pPr>
        <w:ind w:firstLine="645"/>
        <w:rPr>
          <w:rFonts w:ascii="仿宋" w:hAnsi="仿宋" w:eastAsia="仿宋"/>
          <w:sz w:val="32"/>
          <w:szCs w:val="32"/>
        </w:rPr>
      </w:pPr>
      <w:r>
        <w:rPr>
          <w:rFonts w:hint="eastAsia" w:ascii="仿宋" w:hAnsi="仿宋" w:eastAsia="仿宋"/>
          <w:sz w:val="32"/>
          <w:szCs w:val="32"/>
        </w:rPr>
        <w:t>此类情况起止时间计算，以公函落款时间作为起始点计算2年时间。</w:t>
      </w:r>
    </w:p>
    <w:p>
      <w:pPr>
        <w:ind w:firstLine="645"/>
        <w:rPr>
          <w:rFonts w:ascii="黑体" w:hAnsi="黑体" w:eastAsia="黑体"/>
          <w:sz w:val="32"/>
          <w:szCs w:val="32"/>
        </w:rPr>
      </w:pPr>
      <w:r>
        <w:rPr>
          <w:rFonts w:hint="eastAsia" w:ascii="黑体" w:hAnsi="黑体" w:eastAsia="黑体"/>
          <w:sz w:val="32"/>
          <w:szCs w:val="32"/>
        </w:rPr>
        <w:t>四、处理流程</w:t>
      </w:r>
    </w:p>
    <w:p>
      <w:pPr>
        <w:ind w:firstLine="645"/>
        <w:rPr>
          <w:rFonts w:ascii="仿宋" w:hAnsi="仿宋" w:eastAsia="仿宋"/>
          <w:sz w:val="32"/>
          <w:szCs w:val="32"/>
        </w:rPr>
      </w:pPr>
      <w:r>
        <w:rPr>
          <w:rFonts w:hint="eastAsia" w:ascii="仿宋" w:hAnsi="仿宋" w:eastAsia="仿宋"/>
          <w:sz w:val="32"/>
          <w:szCs w:val="32"/>
        </w:rPr>
        <w:t>凡涉及上述情况的有关企业，应于计算截止时间前1个月向采购平台申请如期解封；采购平台将按照阳光采购公开流程予以处理。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仿宋">
    <w:altName w:val="仿宋_GB2312"/>
    <w:panose1 w:val="02010609060101010101"/>
    <w:charset w:val="86"/>
    <w:family w:val="modern"/>
    <w:pitch w:val="default"/>
    <w:sig w:usb0="00000000" w:usb1="00000000" w:usb2="00000016" w:usb3="00000000" w:csb0="00040001"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微软雅黑">
    <w:panose1 w:val="020B0503020204020204"/>
    <w:charset w:val="86"/>
    <w:family w:val="swiss"/>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2"/>
    <w:rsid w:val="00815E82"/>
    <w:rsid w:val="00945630"/>
    <w:rsid w:val="5F19200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582</Characters>
  <Lines>4</Lines>
  <Paragraphs>1</Paragraphs>
  <TotalTime>0</TotalTime>
  <ScaleCrop>false</ScaleCrop>
  <LinksUpToDate>false</LinksUpToDate>
  <CharactersWithSpaces>682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2016-07-27T02:14:00Z</dcterms:created>
  <dc:creator>bjmbc-g</dc:creator>
  <cp:lastModifiedBy>Administrator</cp:lastModifiedBy>
  <dcterms:modified xsi:type="dcterms:W3CDTF">2016-07-27T07:49:39Z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