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B7" w:rsidRDefault="000455B7" w:rsidP="000455B7">
      <w:pPr>
        <w:spacing w:line="560" w:lineRule="exact"/>
        <w:rPr>
          <w:rFonts w:ascii="黑体" w:eastAsia="黑体" w:hAnsi="黑体"/>
          <w:sz w:val="32"/>
          <w:szCs w:val="32"/>
        </w:rPr>
      </w:pPr>
      <w:r w:rsidRPr="0017509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455B7" w:rsidRDefault="000455B7" w:rsidP="000455B7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0455B7" w:rsidRPr="0017509B" w:rsidRDefault="000455B7" w:rsidP="000455B7">
      <w:pPr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17509B">
        <w:rPr>
          <w:rFonts w:ascii="方正小标宋简体" w:eastAsia="方正小标宋简体" w:hAnsi="黑体" w:hint="eastAsia"/>
          <w:sz w:val="44"/>
          <w:szCs w:val="32"/>
        </w:rPr>
        <w:t>酮康他索乳膏说明书修订要求</w:t>
      </w:r>
    </w:p>
    <w:p w:rsidR="000455B7" w:rsidRDefault="000455B7" w:rsidP="000455B7">
      <w:pPr>
        <w:spacing w:line="520" w:lineRule="exact"/>
      </w:pPr>
    </w:p>
    <w:p w:rsidR="000455B7" w:rsidRPr="007C2335" w:rsidRDefault="000455B7" w:rsidP="000455B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2335">
        <w:rPr>
          <w:rFonts w:ascii="黑体" w:eastAsia="黑体" w:hAnsi="黑体"/>
          <w:sz w:val="32"/>
          <w:szCs w:val="32"/>
        </w:rPr>
        <w:t>一、【不良反应】项应包括：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常见红斑、灼热、瘙痒、刺痛或其他刺激症状，毛囊炎、皮肤萎缩变薄，毛细血管扩张、色素沉着以及继发感染等。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可见皮肤干燥、多毛、萎缩纹、对感染的易感性增加等。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长期用药可能引起皮质功能亢进症，表现为多毛、痤疮、满月脸、骨质疏松等症状。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偶可引起变态反应性皮炎。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2335">
        <w:rPr>
          <w:rFonts w:ascii="黑体" w:eastAsia="黑体" w:hAnsi="黑体"/>
          <w:sz w:val="32"/>
          <w:szCs w:val="32"/>
        </w:rPr>
        <w:t>二、【禁忌】项应包括：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1.</w:t>
      </w:r>
      <w:r w:rsidRPr="007C2335">
        <w:rPr>
          <w:rFonts w:eastAsia="仿宋_GB2312"/>
          <w:sz w:val="32"/>
          <w:szCs w:val="32"/>
        </w:rPr>
        <w:t>对本品过敏者禁用。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2.</w:t>
      </w:r>
      <w:r w:rsidRPr="007C2335">
        <w:rPr>
          <w:rFonts w:eastAsia="仿宋_GB2312"/>
          <w:sz w:val="32"/>
          <w:szCs w:val="32"/>
        </w:rPr>
        <w:t>病毒性感染如疱疹、水痘等禁用。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3.</w:t>
      </w:r>
      <w:r w:rsidRPr="007C2335">
        <w:rPr>
          <w:rFonts w:eastAsia="仿宋_GB2312"/>
          <w:sz w:val="32"/>
          <w:szCs w:val="32"/>
        </w:rPr>
        <w:t>小儿、孕妇及哺乳期妇女禁用。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2335">
        <w:rPr>
          <w:rFonts w:ascii="黑体" w:eastAsia="黑体" w:hAnsi="黑体"/>
          <w:sz w:val="32"/>
          <w:szCs w:val="32"/>
        </w:rPr>
        <w:t>三、【注意事项】项应包含：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避免接触眼睛和其他黏膜（如口、鼻等）；不宜用于面部、腋下、腹股沟及外阴等皮肤细薄处。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过敏体质者慎用。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股癣患者，勿穿紧贴内裤或化纤内裤，宜穿棉织宽松内裤。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足癣患者，浴后将皮肤擦干（特别趾间皮肤）。宜穿棉纱袜，每天更换。鞋应透气。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.</w:t>
      </w:r>
      <w:r w:rsidRPr="007C2335">
        <w:rPr>
          <w:rFonts w:eastAsia="仿宋_GB2312"/>
          <w:sz w:val="32"/>
          <w:szCs w:val="32"/>
        </w:rPr>
        <w:t>用药部位如有烧灼感、红肿等情况应停药，并将局部药物洗净，严重者应及时就医。</w:t>
      </w:r>
    </w:p>
    <w:p w:rsidR="000455B7" w:rsidRPr="007C2335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lastRenderedPageBreak/>
        <w:t>6</w:t>
      </w:r>
      <w:r w:rsidRPr="007C2335">
        <w:rPr>
          <w:rFonts w:eastAsia="仿宋_GB2312"/>
          <w:sz w:val="32"/>
          <w:szCs w:val="32"/>
        </w:rPr>
        <w:t>．为减少感染复发，应按规定疗程使用。</w:t>
      </w:r>
    </w:p>
    <w:p w:rsidR="000455B7" w:rsidRPr="0017509B" w:rsidRDefault="000455B7" w:rsidP="000455B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7</w:t>
      </w:r>
      <w:r w:rsidRPr="007C2335">
        <w:rPr>
          <w:rFonts w:eastAsia="仿宋_GB2312"/>
          <w:sz w:val="32"/>
          <w:szCs w:val="32"/>
        </w:rPr>
        <w:t>．本品含强效皮质类固醇丙酸氯倍他索，不能长期、大面积应用，亦不宜采用封包治疗。</w:t>
      </w:r>
    </w:p>
    <w:sectPr w:rsidR="000455B7" w:rsidRPr="0017509B" w:rsidSect="000455B7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01" w:rsidRDefault="00107801" w:rsidP="000455B7">
      <w:r>
        <w:separator/>
      </w:r>
    </w:p>
  </w:endnote>
  <w:endnote w:type="continuationSeparator" w:id="1">
    <w:p w:rsidR="00107801" w:rsidRDefault="00107801" w:rsidP="0004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B" w:rsidRPr="007C2335" w:rsidRDefault="00BC088C">
    <w:pPr>
      <w:pStyle w:val="a4"/>
      <w:rPr>
        <w:sz w:val="28"/>
        <w:szCs w:val="28"/>
      </w:rPr>
    </w:pPr>
    <w:r w:rsidRPr="007C2335">
      <w:rPr>
        <w:rFonts w:hint="eastAsia"/>
        <w:color w:val="FFFFFF"/>
        <w:sz w:val="28"/>
        <w:szCs w:val="28"/>
      </w:rPr>
      <w:t>—</w:t>
    </w:r>
    <w:r w:rsidRPr="007C2335">
      <w:rPr>
        <w:rFonts w:hint="eastAsia"/>
        <w:sz w:val="28"/>
        <w:szCs w:val="28"/>
      </w:rPr>
      <w:t>—</w:t>
    </w:r>
    <w:r w:rsidR="009E40E7" w:rsidRPr="007C2335">
      <w:rPr>
        <w:sz w:val="28"/>
        <w:szCs w:val="28"/>
      </w:rPr>
      <w:fldChar w:fldCharType="begin"/>
    </w:r>
    <w:r w:rsidRPr="007C2335">
      <w:rPr>
        <w:sz w:val="28"/>
        <w:szCs w:val="28"/>
      </w:rPr>
      <w:instrText>PAGE   \* MERGEFORMAT</w:instrText>
    </w:r>
    <w:r w:rsidR="009E40E7" w:rsidRPr="007C2335">
      <w:rPr>
        <w:sz w:val="28"/>
        <w:szCs w:val="28"/>
      </w:rPr>
      <w:fldChar w:fldCharType="separate"/>
    </w:r>
    <w:r w:rsidRPr="00141BE2">
      <w:rPr>
        <w:noProof/>
        <w:sz w:val="28"/>
        <w:szCs w:val="28"/>
        <w:lang w:val="zh-CN"/>
      </w:rPr>
      <w:t>4</w:t>
    </w:r>
    <w:r w:rsidR="009E40E7" w:rsidRPr="007C2335">
      <w:rPr>
        <w:sz w:val="28"/>
        <w:szCs w:val="28"/>
      </w:rPr>
      <w:fldChar w:fldCharType="end"/>
    </w:r>
    <w:r w:rsidRPr="007C2335">
      <w:rPr>
        <w:rFonts w:hint="eastAsia"/>
        <w:sz w:val="28"/>
        <w:szCs w:val="28"/>
      </w:rPr>
      <w:t>—</w:t>
    </w:r>
  </w:p>
  <w:p w:rsidR="00E21DCB" w:rsidRDefault="001078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B" w:rsidRPr="007C2335" w:rsidRDefault="00BC088C" w:rsidP="007C2335">
    <w:pPr>
      <w:pStyle w:val="a4"/>
      <w:wordWrap w:val="0"/>
      <w:jc w:val="right"/>
      <w:rPr>
        <w:sz w:val="28"/>
        <w:szCs w:val="28"/>
      </w:rPr>
    </w:pPr>
    <w:r w:rsidRPr="007C2335">
      <w:rPr>
        <w:rFonts w:hint="eastAsia"/>
        <w:sz w:val="28"/>
        <w:szCs w:val="28"/>
      </w:rPr>
      <w:t>—</w:t>
    </w:r>
    <w:r w:rsidR="009E40E7" w:rsidRPr="007C2335">
      <w:rPr>
        <w:sz w:val="28"/>
        <w:szCs w:val="28"/>
      </w:rPr>
      <w:fldChar w:fldCharType="begin"/>
    </w:r>
    <w:r w:rsidRPr="007C2335">
      <w:rPr>
        <w:sz w:val="28"/>
        <w:szCs w:val="28"/>
      </w:rPr>
      <w:instrText>PAGE   \* MERGEFORMAT</w:instrText>
    </w:r>
    <w:r w:rsidR="009E40E7" w:rsidRPr="007C2335">
      <w:rPr>
        <w:sz w:val="28"/>
        <w:szCs w:val="28"/>
      </w:rPr>
      <w:fldChar w:fldCharType="separate"/>
    </w:r>
    <w:r w:rsidR="001A7152" w:rsidRPr="001A7152">
      <w:rPr>
        <w:noProof/>
        <w:sz w:val="28"/>
        <w:szCs w:val="28"/>
        <w:lang w:val="zh-CN"/>
      </w:rPr>
      <w:t>2</w:t>
    </w:r>
    <w:r w:rsidR="009E40E7" w:rsidRPr="007C2335">
      <w:rPr>
        <w:sz w:val="28"/>
        <w:szCs w:val="28"/>
      </w:rPr>
      <w:fldChar w:fldCharType="end"/>
    </w:r>
    <w:r w:rsidRPr="007C2335">
      <w:rPr>
        <w:rFonts w:hint="eastAsia"/>
        <w:sz w:val="28"/>
        <w:szCs w:val="28"/>
      </w:rPr>
      <w:t>—</w:t>
    </w:r>
    <w:r w:rsidRPr="007C2335">
      <w:rPr>
        <w:rFonts w:hint="eastAsia"/>
        <w:color w:val="FFFFFF"/>
        <w:sz w:val="28"/>
        <w:szCs w:val="28"/>
      </w:rPr>
      <w:t>—</w:t>
    </w:r>
  </w:p>
  <w:p w:rsidR="00D83B74" w:rsidRDefault="001078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01" w:rsidRDefault="00107801" w:rsidP="000455B7">
      <w:r>
        <w:separator/>
      </w:r>
    </w:p>
  </w:footnote>
  <w:footnote w:type="continuationSeparator" w:id="1">
    <w:p w:rsidR="00107801" w:rsidRDefault="00107801" w:rsidP="00045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1A3"/>
    <w:rsid w:val="000455B7"/>
    <w:rsid w:val="00107801"/>
    <w:rsid w:val="001A7152"/>
    <w:rsid w:val="003F322C"/>
    <w:rsid w:val="005961A3"/>
    <w:rsid w:val="009E40E7"/>
    <w:rsid w:val="009F78D0"/>
    <w:rsid w:val="00BC088C"/>
    <w:rsid w:val="00D54EE8"/>
    <w:rsid w:val="00FC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5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5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5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5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CFDA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2017-09-08T07:38:00Z</dcterms:created>
  <dcterms:modified xsi:type="dcterms:W3CDTF">2017-09-08T07:38:00Z</dcterms:modified>
</cp:coreProperties>
</file>