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837" w:rsidRPr="002401BD" w:rsidRDefault="00887837" w:rsidP="00887837">
      <w:pPr>
        <w:jc w:val="left"/>
        <w:rPr>
          <w:rFonts w:ascii="黑体" w:eastAsia="黑体" w:hAnsi="黑体"/>
          <w:sz w:val="32"/>
          <w:szCs w:val="32"/>
        </w:rPr>
      </w:pPr>
      <w:r w:rsidRPr="002401BD">
        <w:rPr>
          <w:rFonts w:ascii="黑体" w:eastAsia="黑体" w:hAnsi="黑体"/>
          <w:sz w:val="32"/>
          <w:szCs w:val="32"/>
        </w:rPr>
        <w:t>附件4</w:t>
      </w:r>
    </w:p>
    <w:p w:rsidR="00887837" w:rsidRPr="009229AD" w:rsidRDefault="00887837" w:rsidP="00887837">
      <w:pPr>
        <w:jc w:val="center"/>
        <w:rPr>
          <w:rFonts w:eastAsia="黑体"/>
          <w:sz w:val="32"/>
          <w:szCs w:val="32"/>
        </w:rPr>
      </w:pPr>
    </w:p>
    <w:p w:rsidR="00887837" w:rsidRDefault="00887837" w:rsidP="00887837">
      <w:pPr>
        <w:spacing w:line="640" w:lineRule="exact"/>
        <w:jc w:val="center"/>
        <w:rPr>
          <w:rFonts w:eastAsia="方正小标宋简体"/>
          <w:sz w:val="44"/>
          <w:szCs w:val="44"/>
        </w:rPr>
      </w:pPr>
      <w:r w:rsidRPr="009229AD">
        <w:rPr>
          <w:rFonts w:eastAsia="方正小标宋简体"/>
          <w:sz w:val="44"/>
          <w:szCs w:val="44"/>
        </w:rPr>
        <w:t>《中药经典名方复方制剂简化注册审批</w:t>
      </w:r>
    </w:p>
    <w:p w:rsidR="00887837" w:rsidRDefault="00887837" w:rsidP="00887837">
      <w:pPr>
        <w:spacing w:line="640" w:lineRule="exact"/>
        <w:jc w:val="center"/>
        <w:rPr>
          <w:rFonts w:eastAsia="方正小标宋简体"/>
          <w:sz w:val="44"/>
          <w:szCs w:val="44"/>
        </w:rPr>
      </w:pPr>
      <w:r w:rsidRPr="009229AD">
        <w:rPr>
          <w:rFonts w:eastAsia="方正小标宋简体"/>
          <w:sz w:val="44"/>
          <w:szCs w:val="44"/>
        </w:rPr>
        <w:t>管理规定（征求意见稿）》及相关申报资料要求</w:t>
      </w:r>
    </w:p>
    <w:p w:rsidR="00887837" w:rsidRPr="009229AD" w:rsidRDefault="00887837" w:rsidP="00887837">
      <w:pPr>
        <w:spacing w:line="640" w:lineRule="exact"/>
        <w:jc w:val="center"/>
        <w:rPr>
          <w:rFonts w:eastAsia="方正小标宋简体"/>
          <w:sz w:val="44"/>
          <w:szCs w:val="44"/>
        </w:rPr>
      </w:pPr>
      <w:r w:rsidRPr="009229AD">
        <w:rPr>
          <w:rFonts w:eastAsia="方正小标宋简体"/>
          <w:sz w:val="44"/>
          <w:szCs w:val="44"/>
        </w:rPr>
        <w:t>（征求意见稿）起草说明</w:t>
      </w:r>
    </w:p>
    <w:p w:rsidR="00887837" w:rsidRPr="009229AD" w:rsidRDefault="00887837" w:rsidP="00887837">
      <w:pPr>
        <w:jc w:val="center"/>
        <w:rPr>
          <w:rFonts w:eastAsia="仿宋_GB2312"/>
          <w:sz w:val="32"/>
          <w:szCs w:val="32"/>
        </w:rPr>
      </w:pPr>
    </w:p>
    <w:p w:rsidR="00887837" w:rsidRPr="002401BD" w:rsidRDefault="00887837" w:rsidP="00887837">
      <w:pPr>
        <w:snapToGrid w:val="0"/>
        <w:spacing w:line="560" w:lineRule="exact"/>
        <w:ind w:firstLineChars="200" w:firstLine="640"/>
        <w:rPr>
          <w:rFonts w:eastAsia="仿宋_GB2312"/>
          <w:color w:val="000000"/>
          <w:sz w:val="32"/>
          <w:szCs w:val="32"/>
        </w:rPr>
      </w:pPr>
      <w:r w:rsidRPr="00514025">
        <w:rPr>
          <w:rFonts w:eastAsia="仿宋_GB2312"/>
          <w:color w:val="000000"/>
          <w:sz w:val="32"/>
          <w:szCs w:val="32"/>
        </w:rPr>
        <w:t>为贯彻落实《</w:t>
      </w:r>
      <w:r w:rsidRPr="00514025">
        <w:rPr>
          <w:rFonts w:eastAsia="仿宋_GB2312"/>
          <w:sz w:val="32"/>
          <w:szCs w:val="32"/>
        </w:rPr>
        <w:t>中华人民共和国</w:t>
      </w:r>
      <w:r w:rsidRPr="001D551A">
        <w:rPr>
          <w:rFonts w:eastAsia="仿宋_GB2312"/>
          <w:color w:val="000000"/>
          <w:sz w:val="32"/>
          <w:szCs w:val="32"/>
        </w:rPr>
        <w:t>中医药法》（以下简称《中医药法》）</w:t>
      </w:r>
      <w:r w:rsidRPr="00C328ED">
        <w:rPr>
          <w:rFonts w:eastAsia="仿宋_GB2312"/>
          <w:sz w:val="32"/>
          <w:szCs w:val="32"/>
        </w:rPr>
        <w:t>《国务院关于改革药品医疗器械审评审批制度的意见》（国发〔</w:t>
      </w:r>
      <w:r w:rsidRPr="00C328ED">
        <w:rPr>
          <w:rFonts w:eastAsia="仿宋_GB2312"/>
          <w:sz w:val="32"/>
          <w:szCs w:val="32"/>
        </w:rPr>
        <w:t>2015</w:t>
      </w:r>
      <w:r w:rsidRPr="002401BD">
        <w:rPr>
          <w:rFonts w:eastAsia="仿宋_GB2312"/>
          <w:sz w:val="32"/>
          <w:szCs w:val="32"/>
        </w:rPr>
        <w:t>〕</w:t>
      </w:r>
      <w:r w:rsidRPr="002401BD">
        <w:rPr>
          <w:rFonts w:eastAsia="仿宋_GB2312"/>
          <w:sz w:val="32"/>
          <w:szCs w:val="32"/>
        </w:rPr>
        <w:t>44</w:t>
      </w:r>
      <w:r w:rsidRPr="002401BD">
        <w:rPr>
          <w:rFonts w:eastAsia="仿宋_GB2312"/>
          <w:sz w:val="32"/>
          <w:szCs w:val="32"/>
        </w:rPr>
        <w:t>号，以下简称</w:t>
      </w:r>
      <w:r w:rsidRPr="002401BD">
        <w:rPr>
          <w:rFonts w:eastAsia="仿宋_GB2312"/>
          <w:sz w:val="32"/>
          <w:szCs w:val="32"/>
        </w:rPr>
        <w:t>44</w:t>
      </w:r>
      <w:r w:rsidRPr="002401BD">
        <w:rPr>
          <w:rFonts w:eastAsia="仿宋_GB2312"/>
          <w:sz w:val="32"/>
          <w:szCs w:val="32"/>
        </w:rPr>
        <w:t>号文）</w:t>
      </w:r>
      <w:r w:rsidRPr="002401BD">
        <w:rPr>
          <w:rFonts w:eastAsia="仿宋_GB2312"/>
          <w:color w:val="000000"/>
          <w:sz w:val="32"/>
          <w:szCs w:val="32"/>
        </w:rPr>
        <w:t>，食品药品监管总局药化注册司组织起草了《中药经典名方复方制剂注册简化审批管理规定（征求意见稿）》（以下简称《规定（征求意见稿）》）及《中药经典名方复方制剂标准煎液的申报资料要求（征求意见稿）》（以下简称《标准煎液的申报资料要求（征求意见稿）》）和《中药经典名方复方制剂的申报资料要求（征求意见稿）》（以下简称《经典名方制剂的申报资料要求（征求意见稿）》）两个配套文件。现将起草情况一并说明如下：</w:t>
      </w:r>
    </w:p>
    <w:p w:rsidR="00887837" w:rsidRPr="002401BD" w:rsidRDefault="00887837" w:rsidP="00887837">
      <w:pPr>
        <w:snapToGrid w:val="0"/>
        <w:spacing w:line="560" w:lineRule="exact"/>
        <w:ind w:firstLineChars="200" w:firstLine="640"/>
        <w:rPr>
          <w:rFonts w:ascii="黑体" w:eastAsia="黑体" w:hAnsi="黑体"/>
          <w:color w:val="000000"/>
          <w:sz w:val="32"/>
          <w:szCs w:val="32"/>
        </w:rPr>
      </w:pPr>
      <w:r w:rsidRPr="002401BD">
        <w:rPr>
          <w:rFonts w:ascii="黑体" w:eastAsia="黑体" w:hAnsi="黑体"/>
          <w:sz w:val="32"/>
          <w:szCs w:val="32"/>
        </w:rPr>
        <w:t>一、起草的法规背景</w:t>
      </w:r>
    </w:p>
    <w:p w:rsidR="00887837" w:rsidRPr="00514025" w:rsidRDefault="00887837" w:rsidP="00887837">
      <w:pPr>
        <w:spacing w:line="560" w:lineRule="exact"/>
        <w:ind w:firstLineChars="200" w:firstLine="640"/>
        <w:rPr>
          <w:rFonts w:eastAsia="仿宋_GB2312"/>
          <w:color w:val="000000"/>
          <w:sz w:val="32"/>
          <w:szCs w:val="32"/>
        </w:rPr>
      </w:pPr>
      <w:r w:rsidRPr="00514025">
        <w:rPr>
          <w:rFonts w:eastAsia="仿宋_GB2312"/>
          <w:sz w:val="32"/>
          <w:szCs w:val="32"/>
        </w:rPr>
        <w:t>2008</w:t>
      </w:r>
      <w:r w:rsidRPr="001D551A">
        <w:rPr>
          <w:rFonts w:eastAsia="仿宋_GB2312"/>
          <w:sz w:val="32"/>
          <w:szCs w:val="32"/>
        </w:rPr>
        <w:t>年实施的《中药注册管理补充规定》首次明确了</w:t>
      </w:r>
      <w:r w:rsidRPr="001D551A">
        <w:rPr>
          <w:rFonts w:eastAsia="仿宋_GB2312"/>
          <w:color w:val="000000"/>
          <w:sz w:val="32"/>
          <w:szCs w:val="32"/>
        </w:rPr>
        <w:t>来源于古代经典名方的中药复方（以下简称经典名方）制剂</w:t>
      </w:r>
      <w:r w:rsidRPr="004642FE">
        <w:rPr>
          <w:rFonts w:eastAsia="仿宋_GB2312"/>
          <w:sz w:val="32"/>
          <w:szCs w:val="32"/>
        </w:rPr>
        <w:t>的注册管理要求。</w:t>
      </w:r>
      <w:r w:rsidRPr="00032096">
        <w:rPr>
          <w:rFonts w:eastAsia="仿宋_GB2312"/>
          <w:sz w:val="32"/>
          <w:szCs w:val="32"/>
        </w:rPr>
        <w:t>2015</w:t>
      </w:r>
      <w:r w:rsidRPr="00032096">
        <w:rPr>
          <w:rFonts w:eastAsia="仿宋_GB2312"/>
          <w:sz w:val="32"/>
          <w:szCs w:val="32"/>
        </w:rPr>
        <w:t>年的</w:t>
      </w:r>
      <w:r w:rsidRPr="00032096">
        <w:rPr>
          <w:rFonts w:eastAsia="仿宋_GB2312"/>
          <w:sz w:val="32"/>
          <w:szCs w:val="32"/>
        </w:rPr>
        <w:t>44</w:t>
      </w:r>
      <w:r w:rsidRPr="00C328ED">
        <w:rPr>
          <w:rFonts w:eastAsia="仿宋_GB2312"/>
          <w:sz w:val="32"/>
          <w:szCs w:val="32"/>
        </w:rPr>
        <w:t>号文进一步明确</w:t>
      </w:r>
      <w:r w:rsidRPr="00C328ED">
        <w:rPr>
          <w:rFonts w:eastAsia="仿宋_GB2312"/>
          <w:sz w:val="32"/>
          <w:szCs w:val="32"/>
        </w:rPr>
        <w:t>“</w:t>
      </w:r>
      <w:r w:rsidRPr="002401BD">
        <w:rPr>
          <w:rFonts w:eastAsia="仿宋_GB2312"/>
          <w:sz w:val="32"/>
          <w:szCs w:val="32"/>
        </w:rPr>
        <w:t>简化来源于古代经典名方的复方制剂的审批</w:t>
      </w:r>
      <w:r w:rsidRPr="002401BD">
        <w:rPr>
          <w:rFonts w:eastAsia="仿宋_GB2312"/>
          <w:sz w:val="32"/>
          <w:szCs w:val="32"/>
        </w:rPr>
        <w:t>”</w:t>
      </w:r>
      <w:r w:rsidRPr="002401BD">
        <w:rPr>
          <w:rFonts w:eastAsia="仿宋_GB2312"/>
          <w:sz w:val="32"/>
          <w:szCs w:val="32"/>
        </w:rPr>
        <w:t>。</w:t>
      </w:r>
      <w:r w:rsidRPr="002401BD">
        <w:rPr>
          <w:rFonts w:eastAsia="仿宋_GB2312"/>
          <w:color w:val="000000"/>
          <w:sz w:val="32"/>
          <w:szCs w:val="32"/>
        </w:rPr>
        <w:t>《中医药法》</w:t>
      </w:r>
      <w:r w:rsidRPr="002401BD">
        <w:rPr>
          <w:rFonts w:eastAsia="仿宋_GB2312"/>
          <w:bCs/>
          <w:color w:val="000000"/>
          <w:sz w:val="32"/>
          <w:szCs w:val="32"/>
        </w:rPr>
        <w:t>第三十条规定：</w:t>
      </w:r>
      <w:r w:rsidRPr="002401BD">
        <w:rPr>
          <w:rFonts w:eastAsia="仿宋_GB2312"/>
          <w:color w:val="000000"/>
          <w:sz w:val="32"/>
          <w:szCs w:val="32"/>
        </w:rPr>
        <w:t>“</w:t>
      </w:r>
      <w:r w:rsidRPr="002401BD">
        <w:rPr>
          <w:rFonts w:eastAsia="仿宋_GB2312"/>
          <w:color w:val="000000"/>
          <w:sz w:val="32"/>
          <w:szCs w:val="32"/>
        </w:rPr>
        <w:t>生产符合国家规定条件的来源于古代经典名方的中药复方制剂，在申请药</w:t>
      </w:r>
      <w:r w:rsidRPr="002401BD">
        <w:rPr>
          <w:rFonts w:eastAsia="仿宋_GB2312"/>
          <w:color w:val="000000"/>
          <w:sz w:val="32"/>
          <w:szCs w:val="32"/>
        </w:rPr>
        <w:lastRenderedPageBreak/>
        <w:t>品批准文号时，可以仅提供非临床安全性研究资料。具体管理办法由国务院药品监督管理部门会同中医药主管部门制定。</w:t>
      </w:r>
      <w:r w:rsidRPr="002401BD">
        <w:rPr>
          <w:rFonts w:eastAsia="仿宋_GB2312"/>
          <w:color w:val="000000"/>
          <w:sz w:val="32"/>
          <w:szCs w:val="32"/>
        </w:rPr>
        <w:t>”</w:t>
      </w:r>
      <w:r w:rsidRPr="002401BD">
        <w:rPr>
          <w:rFonts w:eastAsia="仿宋_GB2312"/>
          <w:color w:val="000000"/>
          <w:sz w:val="32"/>
          <w:szCs w:val="32"/>
        </w:rPr>
        <w:t>据此，食品药品监管</w:t>
      </w:r>
      <w:r w:rsidRPr="00514025">
        <w:rPr>
          <w:rFonts w:eastAsia="仿宋_GB2312"/>
          <w:color w:val="000000"/>
          <w:sz w:val="32"/>
          <w:szCs w:val="32"/>
        </w:rPr>
        <w:t>总局承担经典名方制剂有关注册文件的起草工作。</w:t>
      </w:r>
      <w:r w:rsidRPr="00514025">
        <w:rPr>
          <w:rFonts w:eastAsia="仿宋_GB2312"/>
          <w:color w:val="000000"/>
          <w:sz w:val="32"/>
          <w:szCs w:val="32"/>
        </w:rPr>
        <w:t xml:space="preserve"> </w:t>
      </w:r>
    </w:p>
    <w:p w:rsidR="00887837" w:rsidRPr="00032096" w:rsidRDefault="00887837" w:rsidP="00887837">
      <w:pPr>
        <w:spacing w:line="560" w:lineRule="exact"/>
        <w:ind w:firstLineChars="200" w:firstLine="640"/>
        <w:rPr>
          <w:rFonts w:eastAsia="仿宋_GB2312"/>
          <w:color w:val="000000"/>
          <w:sz w:val="32"/>
          <w:szCs w:val="32"/>
        </w:rPr>
      </w:pPr>
      <w:r w:rsidRPr="001D551A">
        <w:rPr>
          <w:rFonts w:eastAsia="仿宋_GB2312"/>
          <w:sz w:val="32"/>
          <w:szCs w:val="32"/>
        </w:rPr>
        <w:t>可见，</w:t>
      </w:r>
      <w:r w:rsidRPr="001D551A">
        <w:rPr>
          <w:rFonts w:eastAsia="仿宋_GB2312"/>
          <w:color w:val="000000"/>
          <w:sz w:val="32"/>
          <w:szCs w:val="32"/>
        </w:rPr>
        <w:t>《中医药法》吸纳了</w:t>
      </w:r>
      <w:r w:rsidRPr="004642FE">
        <w:rPr>
          <w:rFonts w:eastAsia="仿宋_GB2312"/>
          <w:sz w:val="32"/>
          <w:szCs w:val="32"/>
        </w:rPr>
        <w:t>《中药注册管理补充规定》关于</w:t>
      </w:r>
      <w:r w:rsidRPr="00032096">
        <w:rPr>
          <w:rFonts w:eastAsia="仿宋_GB2312"/>
          <w:color w:val="000000"/>
          <w:sz w:val="32"/>
          <w:szCs w:val="32"/>
        </w:rPr>
        <w:t>经典名方制剂</w:t>
      </w:r>
      <w:r w:rsidRPr="00032096">
        <w:rPr>
          <w:rFonts w:eastAsia="仿宋_GB2312"/>
          <w:sz w:val="32"/>
          <w:szCs w:val="32"/>
        </w:rPr>
        <w:t>的管理规定。</w:t>
      </w:r>
    </w:p>
    <w:p w:rsidR="00887837" w:rsidRPr="002401BD" w:rsidRDefault="00887837" w:rsidP="00887837">
      <w:pPr>
        <w:snapToGrid w:val="0"/>
        <w:spacing w:line="560" w:lineRule="exact"/>
        <w:ind w:firstLineChars="200" w:firstLine="640"/>
        <w:rPr>
          <w:rFonts w:ascii="黑体" w:eastAsia="黑体" w:hAnsi="黑体"/>
          <w:sz w:val="32"/>
          <w:szCs w:val="32"/>
        </w:rPr>
      </w:pPr>
      <w:r w:rsidRPr="002401BD">
        <w:rPr>
          <w:rFonts w:ascii="黑体" w:eastAsia="黑体" w:hAnsi="黑体"/>
          <w:sz w:val="32"/>
          <w:szCs w:val="32"/>
        </w:rPr>
        <w:t>二、起草经过</w:t>
      </w:r>
    </w:p>
    <w:p w:rsidR="00887837" w:rsidRPr="00C328ED" w:rsidRDefault="00887837" w:rsidP="00887837">
      <w:pPr>
        <w:spacing w:line="560" w:lineRule="exact"/>
        <w:ind w:firstLineChars="200" w:firstLine="640"/>
        <w:rPr>
          <w:rFonts w:eastAsia="仿宋_GB2312"/>
          <w:color w:val="000000"/>
          <w:sz w:val="32"/>
          <w:szCs w:val="32"/>
        </w:rPr>
      </w:pPr>
      <w:r w:rsidRPr="00514025">
        <w:rPr>
          <w:rFonts w:eastAsia="仿宋_GB2312"/>
          <w:sz w:val="32"/>
          <w:szCs w:val="32"/>
        </w:rPr>
        <w:t>自</w:t>
      </w:r>
      <w:r w:rsidRPr="00514025">
        <w:rPr>
          <w:rFonts w:eastAsia="仿宋_GB2312"/>
          <w:sz w:val="32"/>
          <w:szCs w:val="32"/>
        </w:rPr>
        <w:t>2015</w:t>
      </w:r>
      <w:r w:rsidRPr="001D551A">
        <w:rPr>
          <w:rFonts w:eastAsia="仿宋_GB2312"/>
          <w:sz w:val="32"/>
          <w:szCs w:val="32"/>
        </w:rPr>
        <w:t>年</w:t>
      </w:r>
      <w:r w:rsidRPr="001D551A">
        <w:rPr>
          <w:rFonts w:eastAsia="仿宋_GB2312"/>
          <w:sz w:val="32"/>
          <w:szCs w:val="32"/>
        </w:rPr>
        <w:t>44</w:t>
      </w:r>
      <w:r w:rsidRPr="004642FE">
        <w:rPr>
          <w:rFonts w:eastAsia="仿宋_GB2312"/>
          <w:sz w:val="32"/>
          <w:szCs w:val="32"/>
        </w:rPr>
        <w:t>号文印发以后，食品药品监管总局药化注册司加强了与</w:t>
      </w:r>
      <w:r w:rsidRPr="00032096">
        <w:rPr>
          <w:rFonts w:eastAsia="仿宋_GB2312"/>
          <w:color w:val="000000"/>
          <w:sz w:val="32"/>
          <w:szCs w:val="32"/>
        </w:rPr>
        <w:t>国家中医药管理局有关司局的沟通，以共同加快经典名方制剂相关文件的起草。</w:t>
      </w:r>
    </w:p>
    <w:p w:rsidR="00887837" w:rsidRPr="001D551A" w:rsidRDefault="00887837" w:rsidP="00887837">
      <w:pPr>
        <w:snapToGrid w:val="0"/>
        <w:spacing w:line="560" w:lineRule="exact"/>
        <w:ind w:firstLineChars="200" w:firstLine="640"/>
        <w:rPr>
          <w:rFonts w:eastAsia="仿宋_GB2312"/>
          <w:sz w:val="32"/>
          <w:szCs w:val="32"/>
        </w:rPr>
      </w:pPr>
      <w:r w:rsidRPr="00C328ED">
        <w:rPr>
          <w:rFonts w:eastAsia="仿宋_GB2312"/>
          <w:sz w:val="32"/>
          <w:szCs w:val="32"/>
        </w:rPr>
        <w:t>2017</w:t>
      </w:r>
      <w:r w:rsidRPr="002401BD">
        <w:rPr>
          <w:rFonts w:eastAsia="仿宋_GB2312"/>
          <w:sz w:val="32"/>
          <w:szCs w:val="32"/>
        </w:rPr>
        <w:t>年</w:t>
      </w:r>
      <w:r w:rsidRPr="002401BD">
        <w:rPr>
          <w:rFonts w:eastAsia="仿宋_GB2312"/>
          <w:sz w:val="32"/>
          <w:szCs w:val="32"/>
        </w:rPr>
        <w:t>5</w:t>
      </w:r>
      <w:r w:rsidRPr="002401BD">
        <w:rPr>
          <w:rFonts w:eastAsia="仿宋_GB2312"/>
          <w:sz w:val="32"/>
          <w:szCs w:val="32"/>
        </w:rPr>
        <w:t>月</w:t>
      </w:r>
      <w:r w:rsidRPr="002401BD">
        <w:rPr>
          <w:rFonts w:eastAsia="仿宋_GB2312"/>
          <w:sz w:val="32"/>
          <w:szCs w:val="32"/>
        </w:rPr>
        <w:t>12</w:t>
      </w:r>
      <w:r w:rsidRPr="002401BD">
        <w:rPr>
          <w:rFonts w:eastAsia="仿宋_GB2312"/>
          <w:sz w:val="32"/>
          <w:szCs w:val="32"/>
        </w:rPr>
        <w:t>日，食品药品监管总局药化注册司成立了由</w:t>
      </w:r>
      <w:r w:rsidRPr="002401BD">
        <w:rPr>
          <w:rFonts w:eastAsia="仿宋_GB2312"/>
          <w:color w:val="000000"/>
          <w:sz w:val="32"/>
          <w:szCs w:val="32"/>
        </w:rPr>
        <w:t>国家中医药管理局有关司局、国家</w:t>
      </w:r>
      <w:r w:rsidRPr="00514025">
        <w:rPr>
          <w:rFonts w:eastAsia="仿宋_GB2312"/>
          <w:color w:val="000000"/>
          <w:sz w:val="32"/>
          <w:szCs w:val="32"/>
        </w:rPr>
        <w:t>药典委、食品药品监管总局药审中心</w:t>
      </w:r>
      <w:r w:rsidRPr="001D551A">
        <w:rPr>
          <w:rFonts w:eastAsia="仿宋_GB2312"/>
          <w:sz w:val="32"/>
          <w:szCs w:val="32"/>
        </w:rPr>
        <w:t>、有关专家及企业代表组成的经典名方制剂相关申报资料要求起草工作组，明确了起草的思路和分工。</w:t>
      </w:r>
    </w:p>
    <w:p w:rsidR="00887837" w:rsidRPr="002401BD" w:rsidRDefault="00887837" w:rsidP="00887837">
      <w:pPr>
        <w:snapToGrid w:val="0"/>
        <w:spacing w:line="560" w:lineRule="exact"/>
        <w:ind w:firstLineChars="200" w:firstLine="640"/>
        <w:rPr>
          <w:rFonts w:eastAsia="仿宋_GB2312"/>
          <w:sz w:val="32"/>
          <w:szCs w:val="32"/>
        </w:rPr>
      </w:pPr>
      <w:r w:rsidRPr="004642FE">
        <w:rPr>
          <w:rFonts w:eastAsia="仿宋_GB2312"/>
          <w:sz w:val="32"/>
          <w:szCs w:val="32"/>
        </w:rPr>
        <w:t>2017</w:t>
      </w:r>
      <w:r w:rsidRPr="00032096">
        <w:rPr>
          <w:rFonts w:eastAsia="仿宋_GB2312"/>
          <w:sz w:val="32"/>
          <w:szCs w:val="32"/>
        </w:rPr>
        <w:t>年</w:t>
      </w:r>
      <w:r w:rsidRPr="00032096">
        <w:rPr>
          <w:rFonts w:eastAsia="仿宋_GB2312"/>
          <w:sz w:val="32"/>
          <w:szCs w:val="32"/>
        </w:rPr>
        <w:t>6</w:t>
      </w:r>
      <w:r w:rsidRPr="00032096">
        <w:rPr>
          <w:rFonts w:eastAsia="仿宋_GB2312"/>
          <w:sz w:val="32"/>
          <w:szCs w:val="32"/>
        </w:rPr>
        <w:t>月</w:t>
      </w:r>
      <w:r w:rsidRPr="00C328ED">
        <w:rPr>
          <w:rFonts w:eastAsia="仿宋_GB2312"/>
          <w:sz w:val="32"/>
          <w:szCs w:val="32"/>
        </w:rPr>
        <w:t>14</w:t>
      </w:r>
      <w:r w:rsidRPr="00C328ED">
        <w:rPr>
          <w:rFonts w:eastAsia="仿宋_GB2312"/>
          <w:sz w:val="32"/>
          <w:szCs w:val="32"/>
        </w:rPr>
        <w:t>日，食品药品监管总局药化注册司召开起草工作组会议，专题研究经典名方制剂简化审批药学申报资料要求。会后，食品药品监管总局药化注册司组织起草了</w:t>
      </w:r>
      <w:r w:rsidRPr="002401BD">
        <w:rPr>
          <w:rFonts w:eastAsia="仿宋_GB2312"/>
          <w:color w:val="000000"/>
          <w:sz w:val="32"/>
          <w:szCs w:val="32"/>
        </w:rPr>
        <w:t>《规定》及相关申报资料要求（讨论稿）。</w:t>
      </w:r>
    </w:p>
    <w:p w:rsidR="00887837" w:rsidRPr="002401BD" w:rsidRDefault="00887837" w:rsidP="00887837">
      <w:pPr>
        <w:snapToGrid w:val="0"/>
        <w:spacing w:line="560" w:lineRule="exact"/>
        <w:ind w:firstLineChars="200" w:firstLine="640"/>
        <w:rPr>
          <w:rFonts w:eastAsia="仿宋_GB2312"/>
          <w:color w:val="000000"/>
          <w:sz w:val="32"/>
          <w:szCs w:val="32"/>
        </w:rPr>
      </w:pPr>
      <w:r w:rsidRPr="002401BD">
        <w:rPr>
          <w:rFonts w:eastAsia="仿宋_GB2312"/>
          <w:sz w:val="32"/>
          <w:szCs w:val="32"/>
        </w:rPr>
        <w:t>2017</w:t>
      </w:r>
      <w:r w:rsidRPr="002401BD">
        <w:rPr>
          <w:rFonts w:eastAsia="仿宋_GB2312"/>
          <w:sz w:val="32"/>
          <w:szCs w:val="32"/>
        </w:rPr>
        <w:t>年</w:t>
      </w:r>
      <w:r w:rsidRPr="002401BD">
        <w:rPr>
          <w:rFonts w:eastAsia="仿宋_GB2312"/>
          <w:sz w:val="32"/>
          <w:szCs w:val="32"/>
        </w:rPr>
        <w:t>7</w:t>
      </w:r>
      <w:r w:rsidRPr="002401BD">
        <w:rPr>
          <w:rFonts w:eastAsia="仿宋_GB2312"/>
          <w:sz w:val="32"/>
          <w:szCs w:val="32"/>
        </w:rPr>
        <w:t>月</w:t>
      </w:r>
      <w:r w:rsidRPr="002401BD">
        <w:rPr>
          <w:rFonts w:eastAsia="仿宋_GB2312"/>
          <w:sz w:val="32"/>
          <w:szCs w:val="32"/>
        </w:rPr>
        <w:t>18</w:t>
      </w:r>
      <w:r w:rsidRPr="002401BD">
        <w:rPr>
          <w:rFonts w:eastAsia="仿宋_GB2312"/>
          <w:sz w:val="32"/>
          <w:szCs w:val="32"/>
        </w:rPr>
        <w:t>日，</w:t>
      </w:r>
      <w:r w:rsidRPr="002401BD">
        <w:rPr>
          <w:rFonts w:eastAsia="仿宋_GB2312"/>
          <w:color w:val="000000"/>
          <w:sz w:val="32"/>
          <w:szCs w:val="32"/>
        </w:rPr>
        <w:t>食品药品监管总局药化注册司邀请国家中医药管理局有关司局，食品药品监管总局法制司，国家</w:t>
      </w:r>
      <w:r w:rsidRPr="00514025">
        <w:rPr>
          <w:rFonts w:eastAsia="仿宋_GB2312"/>
          <w:color w:val="000000"/>
          <w:sz w:val="32"/>
          <w:szCs w:val="32"/>
        </w:rPr>
        <w:t>药典委，食品药品监管总局药审中心，</w:t>
      </w:r>
      <w:r w:rsidRPr="00514025">
        <w:rPr>
          <w:rFonts w:eastAsia="仿宋_GB2312"/>
          <w:sz w:val="32"/>
          <w:szCs w:val="32"/>
        </w:rPr>
        <w:t>江苏、天津</w:t>
      </w:r>
      <w:r w:rsidRPr="001D551A">
        <w:rPr>
          <w:rFonts w:eastAsia="仿宋_GB2312"/>
          <w:color w:val="000000"/>
          <w:sz w:val="32"/>
          <w:szCs w:val="32"/>
        </w:rPr>
        <w:t>等</w:t>
      </w:r>
      <w:r w:rsidRPr="001D551A">
        <w:rPr>
          <w:rFonts w:eastAsia="仿宋_GB2312"/>
          <w:color w:val="000000"/>
          <w:sz w:val="32"/>
          <w:szCs w:val="32"/>
        </w:rPr>
        <w:t>4</w:t>
      </w:r>
      <w:r w:rsidRPr="004642FE">
        <w:rPr>
          <w:rFonts w:eastAsia="仿宋_GB2312"/>
          <w:color w:val="000000"/>
          <w:sz w:val="32"/>
          <w:szCs w:val="32"/>
        </w:rPr>
        <w:t>个省级食品药品监管部门、</w:t>
      </w:r>
      <w:r w:rsidRPr="00032096">
        <w:rPr>
          <w:rFonts w:eastAsia="仿宋_GB2312"/>
          <w:sz w:val="32"/>
          <w:szCs w:val="32"/>
        </w:rPr>
        <w:t>中药协会、企业代表</w:t>
      </w:r>
      <w:r w:rsidRPr="00032096">
        <w:rPr>
          <w:rFonts w:eastAsia="仿宋_GB2312"/>
          <w:color w:val="000000"/>
          <w:sz w:val="32"/>
          <w:szCs w:val="32"/>
        </w:rPr>
        <w:t>以及相关领域</w:t>
      </w:r>
      <w:r w:rsidRPr="00032096">
        <w:rPr>
          <w:rFonts w:eastAsia="仿宋_GB2312"/>
          <w:color w:val="000000"/>
          <w:sz w:val="32"/>
          <w:szCs w:val="32"/>
        </w:rPr>
        <w:t>6</w:t>
      </w:r>
      <w:r w:rsidRPr="00C328ED">
        <w:rPr>
          <w:rFonts w:eastAsia="仿宋_GB2312"/>
          <w:color w:val="000000"/>
          <w:sz w:val="32"/>
          <w:szCs w:val="32"/>
        </w:rPr>
        <w:t>名专家参会，进一步讨论了《规定》及相关申报资料要求（讨论稿）。重点对</w:t>
      </w:r>
      <w:r w:rsidRPr="00C328ED">
        <w:rPr>
          <w:rFonts w:eastAsia="仿宋_GB2312"/>
          <w:color w:val="000000"/>
          <w:sz w:val="32"/>
          <w:szCs w:val="32"/>
        </w:rPr>
        <w:t>“</w:t>
      </w:r>
      <w:r w:rsidRPr="002401BD">
        <w:rPr>
          <w:rFonts w:eastAsia="仿宋_GB2312"/>
          <w:color w:val="000000"/>
          <w:sz w:val="32"/>
          <w:szCs w:val="32"/>
        </w:rPr>
        <w:t>标准煎液</w:t>
      </w:r>
      <w:r w:rsidRPr="002401BD">
        <w:rPr>
          <w:rFonts w:eastAsia="仿宋_GB2312"/>
          <w:color w:val="000000"/>
          <w:sz w:val="32"/>
          <w:szCs w:val="32"/>
        </w:rPr>
        <w:t>”</w:t>
      </w:r>
      <w:r w:rsidRPr="002401BD">
        <w:rPr>
          <w:rFonts w:eastAsia="仿宋_GB2312"/>
          <w:color w:val="000000"/>
          <w:sz w:val="32"/>
          <w:szCs w:val="32"/>
        </w:rPr>
        <w:t>、经典名方制剂的申报进行了讨论。会后，食品药品监管</w:t>
      </w:r>
      <w:r w:rsidRPr="002401BD">
        <w:rPr>
          <w:rFonts w:eastAsia="仿宋_GB2312"/>
          <w:color w:val="000000"/>
          <w:sz w:val="32"/>
          <w:szCs w:val="32"/>
        </w:rPr>
        <w:lastRenderedPageBreak/>
        <w:t>总局药化注册司对收集到的意见进行了研究，修改完善了讨论稿，形成征求意见稿。</w:t>
      </w:r>
    </w:p>
    <w:p w:rsidR="00887837" w:rsidRPr="002401BD" w:rsidRDefault="00887837" w:rsidP="00887837">
      <w:pPr>
        <w:snapToGrid w:val="0"/>
        <w:spacing w:line="560" w:lineRule="exact"/>
        <w:ind w:firstLineChars="200" w:firstLine="640"/>
        <w:rPr>
          <w:rFonts w:eastAsia="仿宋_GB2312"/>
          <w:color w:val="000000"/>
          <w:sz w:val="32"/>
          <w:szCs w:val="32"/>
        </w:rPr>
      </w:pPr>
      <w:r w:rsidRPr="002401BD">
        <w:rPr>
          <w:rFonts w:eastAsia="仿宋_GB2312"/>
          <w:color w:val="000000"/>
          <w:sz w:val="32"/>
          <w:szCs w:val="32"/>
        </w:rPr>
        <w:t>2017</w:t>
      </w:r>
      <w:r w:rsidRPr="002401BD">
        <w:rPr>
          <w:rFonts w:eastAsia="仿宋_GB2312"/>
          <w:color w:val="000000"/>
          <w:sz w:val="32"/>
          <w:szCs w:val="32"/>
        </w:rPr>
        <w:t>年</w:t>
      </w:r>
      <w:r w:rsidRPr="002401BD">
        <w:rPr>
          <w:rFonts w:eastAsia="仿宋_GB2312"/>
          <w:color w:val="000000"/>
          <w:sz w:val="32"/>
          <w:szCs w:val="32"/>
        </w:rPr>
        <w:t>8</w:t>
      </w:r>
      <w:r w:rsidRPr="002401BD">
        <w:rPr>
          <w:rFonts w:eastAsia="仿宋_GB2312"/>
          <w:color w:val="000000"/>
          <w:sz w:val="32"/>
          <w:szCs w:val="32"/>
        </w:rPr>
        <w:t>月初食品药品监管总局药化注册司又征求了国家中医药管理局及食品药品监管总局法制司、药化监管司、药审中心的意见，并根据反馈意见对征求意见稿进行了修改、完善。</w:t>
      </w:r>
    </w:p>
    <w:p w:rsidR="00887837" w:rsidRPr="002401BD" w:rsidRDefault="00887837" w:rsidP="00887837">
      <w:pPr>
        <w:snapToGrid w:val="0"/>
        <w:spacing w:line="560" w:lineRule="exact"/>
        <w:ind w:firstLineChars="200" w:firstLine="640"/>
        <w:rPr>
          <w:rFonts w:ascii="黑体" w:eastAsia="黑体" w:hAnsi="黑体"/>
          <w:sz w:val="32"/>
          <w:szCs w:val="32"/>
        </w:rPr>
      </w:pPr>
      <w:r w:rsidRPr="002401BD">
        <w:rPr>
          <w:rFonts w:ascii="黑体" w:eastAsia="黑体" w:hAnsi="黑体"/>
          <w:sz w:val="32"/>
          <w:szCs w:val="32"/>
        </w:rPr>
        <w:t>三、主要内容和说明</w:t>
      </w:r>
    </w:p>
    <w:p w:rsidR="00887837" w:rsidRPr="002401BD" w:rsidRDefault="00887837" w:rsidP="00887837">
      <w:pPr>
        <w:snapToGrid w:val="0"/>
        <w:spacing w:line="560" w:lineRule="exact"/>
        <w:ind w:firstLineChars="200" w:firstLine="640"/>
        <w:rPr>
          <w:rFonts w:eastAsia="仿宋_GB2312"/>
          <w:color w:val="000000"/>
          <w:sz w:val="32"/>
          <w:szCs w:val="32"/>
        </w:rPr>
      </w:pPr>
      <w:r w:rsidRPr="00514025">
        <w:rPr>
          <w:rFonts w:eastAsia="仿宋_GB2312"/>
          <w:color w:val="000000"/>
          <w:sz w:val="32"/>
          <w:szCs w:val="32"/>
        </w:rPr>
        <w:t>《规定（征求意见稿）》共</w:t>
      </w:r>
      <w:r w:rsidRPr="00514025">
        <w:rPr>
          <w:rFonts w:eastAsia="仿宋_GB2312"/>
          <w:color w:val="000000"/>
          <w:sz w:val="32"/>
          <w:szCs w:val="32"/>
        </w:rPr>
        <w:t>21</w:t>
      </w:r>
      <w:r w:rsidRPr="001D551A">
        <w:rPr>
          <w:rFonts w:eastAsia="仿宋_GB2312"/>
          <w:color w:val="000000"/>
          <w:sz w:val="32"/>
          <w:szCs w:val="32"/>
        </w:rPr>
        <w:t>条，内容依次涉及经典名方的范围、</w:t>
      </w:r>
      <w:r w:rsidRPr="001D551A">
        <w:rPr>
          <w:rFonts w:eastAsia="仿宋_GB2312"/>
          <w:sz w:val="32"/>
          <w:szCs w:val="32"/>
        </w:rPr>
        <w:t>简化审批的条件、申请人资质、</w:t>
      </w:r>
      <w:r w:rsidRPr="004642FE">
        <w:rPr>
          <w:rFonts w:eastAsia="仿宋_GB2312"/>
          <w:color w:val="000000"/>
          <w:sz w:val="32"/>
          <w:szCs w:val="32"/>
        </w:rPr>
        <w:t>“</w:t>
      </w:r>
      <w:r w:rsidRPr="00032096">
        <w:rPr>
          <w:rFonts w:eastAsia="仿宋_GB2312"/>
          <w:color w:val="000000"/>
          <w:sz w:val="32"/>
          <w:szCs w:val="32"/>
        </w:rPr>
        <w:t>标准煎液</w:t>
      </w:r>
      <w:r w:rsidRPr="00032096">
        <w:rPr>
          <w:rFonts w:eastAsia="仿宋_GB2312"/>
          <w:color w:val="000000"/>
          <w:sz w:val="32"/>
          <w:szCs w:val="32"/>
        </w:rPr>
        <w:t>”</w:t>
      </w:r>
      <w:r w:rsidRPr="00032096">
        <w:rPr>
          <w:rFonts w:eastAsia="仿宋_GB2312"/>
          <w:color w:val="000000"/>
          <w:sz w:val="32"/>
          <w:szCs w:val="32"/>
        </w:rPr>
        <w:t>的申报及发布、经典名方制剂的注册程序及管理要求、各相关方责任等。《标准煎液的申报资料要求（征求意见稿）》主要论述</w:t>
      </w:r>
      <w:r w:rsidRPr="00C328ED">
        <w:rPr>
          <w:rFonts w:eastAsia="仿宋_GB2312"/>
          <w:color w:val="000000"/>
          <w:sz w:val="32"/>
          <w:szCs w:val="32"/>
        </w:rPr>
        <w:t>“</w:t>
      </w:r>
      <w:r w:rsidRPr="00C328ED">
        <w:rPr>
          <w:rFonts w:eastAsia="仿宋_GB2312"/>
          <w:color w:val="000000"/>
          <w:sz w:val="32"/>
          <w:szCs w:val="32"/>
        </w:rPr>
        <w:t>标准煎液</w:t>
      </w:r>
      <w:r w:rsidRPr="002401BD">
        <w:rPr>
          <w:rFonts w:eastAsia="仿宋_GB2312"/>
          <w:color w:val="000000"/>
          <w:sz w:val="32"/>
          <w:szCs w:val="32"/>
        </w:rPr>
        <w:t>”</w:t>
      </w:r>
      <w:r w:rsidRPr="002401BD">
        <w:rPr>
          <w:rFonts w:eastAsia="仿宋_GB2312"/>
          <w:color w:val="000000"/>
          <w:sz w:val="32"/>
          <w:szCs w:val="32"/>
        </w:rPr>
        <w:t>研究的技术要求，以药材</w:t>
      </w:r>
      <w:r w:rsidRPr="002401BD">
        <w:rPr>
          <w:rFonts w:eastAsia="仿宋_GB2312"/>
          <w:color w:val="000000"/>
          <w:sz w:val="32"/>
          <w:szCs w:val="32"/>
        </w:rPr>
        <w:t>-</w:t>
      </w:r>
      <w:r w:rsidRPr="002401BD">
        <w:rPr>
          <w:rFonts w:eastAsia="仿宋_GB2312"/>
          <w:color w:val="000000"/>
          <w:sz w:val="32"/>
          <w:szCs w:val="32"/>
        </w:rPr>
        <w:t>饮片</w:t>
      </w:r>
      <w:r w:rsidRPr="002401BD">
        <w:rPr>
          <w:rFonts w:eastAsia="仿宋_GB2312"/>
          <w:color w:val="000000"/>
          <w:sz w:val="32"/>
          <w:szCs w:val="32"/>
        </w:rPr>
        <w:t>-“</w:t>
      </w:r>
      <w:r w:rsidRPr="002401BD">
        <w:rPr>
          <w:rFonts w:eastAsia="仿宋_GB2312"/>
          <w:color w:val="000000"/>
          <w:sz w:val="32"/>
          <w:szCs w:val="32"/>
        </w:rPr>
        <w:t>标准煎液</w:t>
      </w:r>
      <w:r w:rsidRPr="002401BD">
        <w:rPr>
          <w:rFonts w:eastAsia="仿宋_GB2312"/>
          <w:color w:val="000000"/>
          <w:sz w:val="32"/>
          <w:szCs w:val="32"/>
        </w:rPr>
        <w:t>”</w:t>
      </w:r>
      <w:r w:rsidRPr="002401BD">
        <w:rPr>
          <w:rFonts w:eastAsia="仿宋_GB2312"/>
          <w:color w:val="000000"/>
          <w:sz w:val="32"/>
          <w:szCs w:val="32"/>
        </w:rPr>
        <w:t>为主线；《经典名方制剂的申报资料要求（征求意见稿）》主要分为：综述资料、药学研究资料和</w:t>
      </w:r>
      <w:r w:rsidRPr="002401BD">
        <w:rPr>
          <w:rFonts w:eastAsia="仿宋_GB2312"/>
          <w:kern w:val="0"/>
          <w:sz w:val="32"/>
          <w:szCs w:val="32"/>
        </w:rPr>
        <w:t>非临床安全性研究资料三部分，其中药学研究资料采用了</w:t>
      </w:r>
      <w:r w:rsidRPr="002401BD">
        <w:rPr>
          <w:rFonts w:eastAsia="仿宋_GB2312"/>
          <w:color w:val="000000"/>
          <w:sz w:val="32"/>
          <w:szCs w:val="32"/>
        </w:rPr>
        <w:t>药材</w:t>
      </w:r>
      <w:r w:rsidRPr="002401BD">
        <w:rPr>
          <w:rFonts w:eastAsia="仿宋_GB2312"/>
          <w:color w:val="000000"/>
          <w:sz w:val="32"/>
          <w:szCs w:val="32"/>
        </w:rPr>
        <w:t>-</w:t>
      </w:r>
      <w:r w:rsidRPr="002401BD">
        <w:rPr>
          <w:rFonts w:eastAsia="仿宋_GB2312"/>
          <w:color w:val="000000"/>
          <w:sz w:val="32"/>
          <w:szCs w:val="32"/>
        </w:rPr>
        <w:t>饮片</w:t>
      </w:r>
      <w:r w:rsidRPr="002401BD">
        <w:rPr>
          <w:rFonts w:eastAsia="仿宋_GB2312"/>
          <w:color w:val="000000"/>
          <w:sz w:val="32"/>
          <w:szCs w:val="32"/>
        </w:rPr>
        <w:t>-“</w:t>
      </w:r>
      <w:r w:rsidRPr="002401BD">
        <w:rPr>
          <w:rFonts w:eastAsia="仿宋_GB2312"/>
          <w:color w:val="000000"/>
          <w:sz w:val="32"/>
          <w:szCs w:val="32"/>
        </w:rPr>
        <w:t>标准煎液</w:t>
      </w:r>
      <w:r w:rsidRPr="002401BD">
        <w:rPr>
          <w:rFonts w:eastAsia="仿宋_GB2312"/>
          <w:color w:val="000000"/>
          <w:sz w:val="32"/>
          <w:szCs w:val="32"/>
        </w:rPr>
        <w:t>”-</w:t>
      </w:r>
      <w:r w:rsidRPr="002401BD">
        <w:rPr>
          <w:rFonts w:eastAsia="仿宋_GB2312"/>
          <w:color w:val="000000"/>
          <w:sz w:val="32"/>
          <w:szCs w:val="32"/>
        </w:rPr>
        <w:t>制剂的论述方式。重点内容说明如下：</w:t>
      </w:r>
      <w:r w:rsidRPr="002401BD">
        <w:rPr>
          <w:rFonts w:eastAsia="仿宋_GB2312"/>
          <w:color w:val="000000"/>
          <w:sz w:val="32"/>
          <w:szCs w:val="32"/>
        </w:rPr>
        <w:t xml:space="preserve"> </w:t>
      </w:r>
    </w:p>
    <w:p w:rsidR="00887837" w:rsidRPr="002401BD" w:rsidRDefault="00887837" w:rsidP="00887837">
      <w:pPr>
        <w:snapToGrid w:val="0"/>
        <w:spacing w:line="560" w:lineRule="exact"/>
        <w:ind w:firstLineChars="200" w:firstLine="640"/>
        <w:rPr>
          <w:rFonts w:ascii="楷体_GB2312" w:eastAsia="楷体_GB2312"/>
          <w:color w:val="000000"/>
          <w:sz w:val="32"/>
          <w:szCs w:val="32"/>
        </w:rPr>
      </w:pPr>
      <w:r w:rsidRPr="002401BD">
        <w:rPr>
          <w:rFonts w:ascii="楷体_GB2312" w:eastAsia="楷体_GB2312" w:hint="eastAsia"/>
          <w:color w:val="000000"/>
          <w:sz w:val="32"/>
          <w:szCs w:val="32"/>
        </w:rPr>
        <w:t>（一）关于“标准煎液”</w:t>
      </w:r>
    </w:p>
    <w:p w:rsidR="00887837" w:rsidRPr="002401BD" w:rsidRDefault="00887837" w:rsidP="00887837">
      <w:pPr>
        <w:spacing w:line="560" w:lineRule="exact"/>
        <w:ind w:firstLineChars="200" w:firstLine="640"/>
        <w:rPr>
          <w:rFonts w:eastAsia="仿宋_GB2312"/>
          <w:color w:val="000000"/>
          <w:sz w:val="32"/>
          <w:szCs w:val="32"/>
        </w:rPr>
      </w:pPr>
      <w:r w:rsidRPr="00514025">
        <w:rPr>
          <w:rFonts w:eastAsia="仿宋_GB2312"/>
          <w:color w:val="000000"/>
          <w:sz w:val="32"/>
          <w:szCs w:val="32"/>
        </w:rPr>
        <w:t>经典名方在我国有着悠久、丰富的人用历史，但由于其原料药材不稳定及成分复杂，其质量的批间一致性对疗效的稳健发挥至关重要。为此，食品药品监管总局药化注册司在借鉴日本汉方药管理经验的基础上，引入了</w:t>
      </w:r>
      <w:r w:rsidRPr="001D551A">
        <w:rPr>
          <w:rFonts w:eastAsia="仿宋_GB2312"/>
          <w:color w:val="000000"/>
          <w:sz w:val="32"/>
          <w:szCs w:val="32"/>
        </w:rPr>
        <w:t>“</w:t>
      </w:r>
      <w:r w:rsidRPr="001D551A">
        <w:rPr>
          <w:rFonts w:eastAsia="仿宋_GB2312"/>
          <w:color w:val="000000"/>
          <w:sz w:val="32"/>
          <w:szCs w:val="32"/>
        </w:rPr>
        <w:t>标准汤液</w:t>
      </w:r>
      <w:r w:rsidRPr="004642FE">
        <w:rPr>
          <w:rFonts w:eastAsia="仿宋_GB2312"/>
          <w:color w:val="000000"/>
          <w:sz w:val="32"/>
          <w:szCs w:val="32"/>
        </w:rPr>
        <w:t>”</w:t>
      </w:r>
      <w:r w:rsidRPr="00032096">
        <w:rPr>
          <w:rFonts w:eastAsia="仿宋_GB2312"/>
          <w:color w:val="000000"/>
          <w:sz w:val="32"/>
          <w:szCs w:val="32"/>
        </w:rPr>
        <w:t>的管理要求，以其作为质量控制的基准物质。但是，在文字表述上是否沿用</w:t>
      </w:r>
      <w:r w:rsidRPr="00032096">
        <w:rPr>
          <w:rFonts w:eastAsia="仿宋_GB2312"/>
          <w:color w:val="000000"/>
          <w:sz w:val="32"/>
          <w:szCs w:val="32"/>
        </w:rPr>
        <w:t>“</w:t>
      </w:r>
      <w:r w:rsidRPr="00032096">
        <w:rPr>
          <w:rFonts w:eastAsia="仿宋_GB2312"/>
          <w:color w:val="000000"/>
          <w:sz w:val="32"/>
          <w:szCs w:val="32"/>
        </w:rPr>
        <w:t>标准汤液</w:t>
      </w:r>
      <w:r w:rsidRPr="00032096">
        <w:rPr>
          <w:rFonts w:eastAsia="仿宋_GB2312"/>
          <w:color w:val="000000"/>
          <w:sz w:val="32"/>
          <w:szCs w:val="32"/>
        </w:rPr>
        <w:t>”</w:t>
      </w:r>
      <w:r w:rsidRPr="00C328ED">
        <w:rPr>
          <w:rFonts w:eastAsia="仿宋_GB2312"/>
          <w:color w:val="000000"/>
          <w:sz w:val="32"/>
          <w:szCs w:val="32"/>
        </w:rPr>
        <w:t>的叫法，专家提出了不同意见。有的专家认为中药起源于我国，不能照搬日本的表述语汇。又有专家建议使用</w:t>
      </w:r>
      <w:r w:rsidRPr="00C328ED">
        <w:rPr>
          <w:rFonts w:eastAsia="仿宋_GB2312"/>
          <w:color w:val="000000"/>
          <w:sz w:val="32"/>
          <w:szCs w:val="32"/>
        </w:rPr>
        <w:t>“</w:t>
      </w:r>
      <w:r w:rsidRPr="002401BD">
        <w:rPr>
          <w:rFonts w:eastAsia="仿宋_GB2312"/>
          <w:color w:val="000000"/>
          <w:sz w:val="32"/>
          <w:szCs w:val="32"/>
        </w:rPr>
        <w:t>标准制剂</w:t>
      </w:r>
      <w:r w:rsidRPr="002401BD">
        <w:rPr>
          <w:rFonts w:eastAsia="仿宋_GB2312"/>
          <w:color w:val="000000"/>
          <w:sz w:val="32"/>
          <w:szCs w:val="32"/>
        </w:rPr>
        <w:t>”“</w:t>
      </w:r>
      <w:r w:rsidRPr="002401BD">
        <w:rPr>
          <w:rFonts w:eastAsia="仿宋_GB2312"/>
          <w:color w:val="000000"/>
          <w:sz w:val="32"/>
          <w:szCs w:val="32"/>
        </w:rPr>
        <w:t>原方制剂</w:t>
      </w:r>
      <w:r w:rsidRPr="002401BD">
        <w:rPr>
          <w:rFonts w:eastAsia="仿宋_GB2312"/>
          <w:color w:val="000000"/>
          <w:sz w:val="32"/>
          <w:szCs w:val="32"/>
        </w:rPr>
        <w:t>”</w:t>
      </w:r>
      <w:r w:rsidRPr="002401BD">
        <w:rPr>
          <w:rFonts w:eastAsia="仿宋_GB2312"/>
          <w:color w:val="000000"/>
          <w:sz w:val="32"/>
          <w:szCs w:val="32"/>
        </w:rPr>
        <w:t>的表述，但由于</w:t>
      </w:r>
      <w:r w:rsidRPr="002401BD">
        <w:rPr>
          <w:rFonts w:eastAsia="仿宋_GB2312"/>
          <w:color w:val="000000"/>
          <w:sz w:val="32"/>
          <w:szCs w:val="32"/>
        </w:rPr>
        <w:t>“</w:t>
      </w:r>
      <w:r w:rsidRPr="002401BD">
        <w:rPr>
          <w:rFonts w:eastAsia="仿宋_GB2312"/>
          <w:color w:val="000000"/>
          <w:sz w:val="32"/>
          <w:szCs w:val="32"/>
        </w:rPr>
        <w:t>制剂</w:t>
      </w:r>
      <w:r w:rsidRPr="002401BD">
        <w:rPr>
          <w:rFonts w:eastAsia="仿宋_GB2312"/>
          <w:color w:val="000000"/>
          <w:sz w:val="32"/>
          <w:szCs w:val="32"/>
        </w:rPr>
        <w:t>”</w:t>
      </w:r>
      <w:r w:rsidRPr="002401BD">
        <w:rPr>
          <w:rFonts w:eastAsia="仿宋_GB2312"/>
          <w:color w:val="000000"/>
          <w:sz w:val="32"/>
          <w:szCs w:val="32"/>
        </w:rPr>
        <w:t>系成药概念，易引起误解，因此未</w:t>
      </w:r>
      <w:r w:rsidRPr="002401BD">
        <w:rPr>
          <w:rFonts w:eastAsia="仿宋_GB2312"/>
          <w:color w:val="000000"/>
          <w:sz w:val="32"/>
          <w:szCs w:val="32"/>
        </w:rPr>
        <w:lastRenderedPageBreak/>
        <w:t>予采用。</w:t>
      </w:r>
    </w:p>
    <w:p w:rsidR="00887837" w:rsidRPr="002401BD" w:rsidRDefault="00887837" w:rsidP="00887837">
      <w:pPr>
        <w:spacing w:line="560" w:lineRule="exact"/>
        <w:ind w:firstLineChars="200" w:firstLine="640"/>
        <w:rPr>
          <w:rFonts w:eastAsia="仿宋_GB2312"/>
          <w:color w:val="000000"/>
          <w:sz w:val="32"/>
          <w:szCs w:val="32"/>
        </w:rPr>
      </w:pPr>
      <w:r w:rsidRPr="002401BD">
        <w:rPr>
          <w:rFonts w:eastAsia="仿宋_GB2312"/>
          <w:color w:val="000000"/>
          <w:sz w:val="32"/>
          <w:szCs w:val="32"/>
        </w:rPr>
        <w:t>经研究，食品药品监管总局药化注册司现采用</w:t>
      </w:r>
      <w:r w:rsidRPr="002401BD">
        <w:rPr>
          <w:rFonts w:eastAsia="仿宋_GB2312"/>
          <w:color w:val="000000"/>
          <w:sz w:val="32"/>
          <w:szCs w:val="32"/>
        </w:rPr>
        <w:t>“</w:t>
      </w:r>
      <w:r w:rsidRPr="002401BD">
        <w:rPr>
          <w:rFonts w:eastAsia="仿宋_GB2312"/>
          <w:color w:val="000000"/>
          <w:sz w:val="32"/>
          <w:szCs w:val="32"/>
        </w:rPr>
        <w:t>标准煎液</w:t>
      </w:r>
      <w:r w:rsidRPr="002401BD">
        <w:rPr>
          <w:rFonts w:eastAsia="仿宋_GB2312"/>
          <w:color w:val="000000"/>
          <w:sz w:val="32"/>
          <w:szCs w:val="32"/>
        </w:rPr>
        <w:t>”</w:t>
      </w:r>
      <w:r w:rsidRPr="002401BD">
        <w:rPr>
          <w:rFonts w:eastAsia="仿宋_GB2312"/>
          <w:color w:val="000000"/>
          <w:sz w:val="32"/>
          <w:szCs w:val="32"/>
        </w:rPr>
        <w:t>的表述，主要基于以下两点考虑：一是</w:t>
      </w:r>
      <w:r w:rsidRPr="002401BD">
        <w:rPr>
          <w:rFonts w:eastAsia="仿宋_GB2312"/>
          <w:color w:val="000000"/>
          <w:sz w:val="32"/>
          <w:szCs w:val="32"/>
        </w:rPr>
        <w:t>“</w:t>
      </w:r>
      <w:r w:rsidRPr="002401BD">
        <w:rPr>
          <w:rFonts w:eastAsia="仿宋_GB2312"/>
          <w:color w:val="000000"/>
          <w:sz w:val="32"/>
          <w:szCs w:val="32"/>
        </w:rPr>
        <w:t>标准煎液</w:t>
      </w:r>
      <w:r w:rsidRPr="002401BD">
        <w:rPr>
          <w:rFonts w:eastAsia="仿宋_GB2312"/>
          <w:color w:val="000000"/>
          <w:sz w:val="32"/>
          <w:szCs w:val="32"/>
        </w:rPr>
        <w:t>”</w:t>
      </w:r>
      <w:r w:rsidRPr="002401BD">
        <w:rPr>
          <w:rFonts w:eastAsia="仿宋_GB2312"/>
          <w:color w:val="000000"/>
          <w:sz w:val="32"/>
          <w:szCs w:val="32"/>
        </w:rPr>
        <w:t>中的</w:t>
      </w:r>
      <w:r w:rsidRPr="002401BD">
        <w:rPr>
          <w:rFonts w:eastAsia="仿宋_GB2312"/>
          <w:color w:val="000000"/>
          <w:sz w:val="32"/>
          <w:szCs w:val="32"/>
        </w:rPr>
        <w:t>“</w:t>
      </w:r>
      <w:r w:rsidRPr="002401BD">
        <w:rPr>
          <w:rFonts w:eastAsia="仿宋_GB2312"/>
          <w:color w:val="000000"/>
          <w:sz w:val="32"/>
          <w:szCs w:val="32"/>
        </w:rPr>
        <w:t>标准</w:t>
      </w:r>
      <w:r w:rsidRPr="002401BD">
        <w:rPr>
          <w:rFonts w:eastAsia="仿宋_GB2312"/>
          <w:color w:val="000000"/>
          <w:sz w:val="32"/>
          <w:szCs w:val="32"/>
        </w:rPr>
        <w:t>”</w:t>
      </w:r>
      <w:r w:rsidRPr="002401BD">
        <w:rPr>
          <w:rFonts w:eastAsia="仿宋_GB2312"/>
          <w:color w:val="000000"/>
          <w:sz w:val="32"/>
          <w:szCs w:val="32"/>
        </w:rPr>
        <w:t>，指制剂质量的</w:t>
      </w:r>
      <w:r w:rsidRPr="002401BD">
        <w:rPr>
          <w:rFonts w:eastAsia="仿宋_GB2312"/>
          <w:color w:val="000000"/>
          <w:sz w:val="32"/>
          <w:szCs w:val="32"/>
        </w:rPr>
        <w:t>“</w:t>
      </w:r>
      <w:r w:rsidRPr="002401BD">
        <w:rPr>
          <w:rFonts w:eastAsia="仿宋_GB2312"/>
          <w:color w:val="000000"/>
          <w:sz w:val="32"/>
          <w:szCs w:val="32"/>
        </w:rPr>
        <w:t>基准</w:t>
      </w:r>
      <w:r w:rsidRPr="002401BD">
        <w:rPr>
          <w:rFonts w:eastAsia="仿宋_GB2312"/>
          <w:color w:val="000000"/>
          <w:sz w:val="32"/>
          <w:szCs w:val="32"/>
        </w:rPr>
        <w:t>”</w:t>
      </w:r>
      <w:r w:rsidRPr="002401BD">
        <w:rPr>
          <w:rFonts w:eastAsia="仿宋_GB2312"/>
          <w:color w:val="000000"/>
          <w:sz w:val="32"/>
          <w:szCs w:val="32"/>
        </w:rPr>
        <w:t>，是作为衡量是否与中医临床所使用的药用物质一致的标准参照；二是</w:t>
      </w:r>
      <w:r w:rsidRPr="002401BD">
        <w:rPr>
          <w:rFonts w:eastAsia="仿宋_GB2312"/>
          <w:color w:val="000000"/>
          <w:sz w:val="32"/>
          <w:szCs w:val="32"/>
        </w:rPr>
        <w:t>“</w:t>
      </w:r>
      <w:r w:rsidRPr="002401BD">
        <w:rPr>
          <w:rFonts w:eastAsia="仿宋_GB2312"/>
          <w:color w:val="000000"/>
          <w:sz w:val="32"/>
          <w:szCs w:val="32"/>
        </w:rPr>
        <w:t>标准煎液</w:t>
      </w:r>
      <w:r w:rsidRPr="002401BD">
        <w:rPr>
          <w:rFonts w:eastAsia="仿宋_GB2312"/>
          <w:color w:val="000000"/>
          <w:sz w:val="32"/>
          <w:szCs w:val="32"/>
        </w:rPr>
        <w:t>”</w:t>
      </w:r>
      <w:r w:rsidRPr="002401BD">
        <w:rPr>
          <w:rFonts w:eastAsia="仿宋_GB2312"/>
          <w:color w:val="000000"/>
          <w:sz w:val="32"/>
          <w:szCs w:val="32"/>
        </w:rPr>
        <w:t>中的</w:t>
      </w:r>
      <w:r w:rsidRPr="002401BD">
        <w:rPr>
          <w:rFonts w:eastAsia="仿宋_GB2312"/>
          <w:color w:val="000000"/>
          <w:sz w:val="32"/>
          <w:szCs w:val="32"/>
        </w:rPr>
        <w:t>“</w:t>
      </w:r>
      <w:r w:rsidRPr="002401BD">
        <w:rPr>
          <w:rFonts w:eastAsia="仿宋_GB2312"/>
          <w:color w:val="000000"/>
          <w:sz w:val="32"/>
          <w:szCs w:val="32"/>
        </w:rPr>
        <w:t>煎液</w:t>
      </w:r>
      <w:r w:rsidRPr="002401BD">
        <w:rPr>
          <w:rFonts w:eastAsia="仿宋_GB2312"/>
          <w:color w:val="000000"/>
          <w:sz w:val="32"/>
          <w:szCs w:val="32"/>
        </w:rPr>
        <w:t>”</w:t>
      </w:r>
      <w:r w:rsidRPr="002401BD">
        <w:rPr>
          <w:rFonts w:eastAsia="仿宋_GB2312"/>
          <w:color w:val="000000"/>
          <w:sz w:val="32"/>
          <w:szCs w:val="32"/>
        </w:rPr>
        <w:t>，形象地还原了经典名方临床用药方式，以此强调与中医临床传统用药方式的一致。虽然经典名方中有的以散剂而非汤剂用药，但食品药品监管总局药化注册司采用标准煎液加引号的方式，以期达到以点带面的目的。</w:t>
      </w:r>
    </w:p>
    <w:p w:rsidR="00887837" w:rsidRPr="002401BD" w:rsidRDefault="00887837" w:rsidP="00887837">
      <w:pPr>
        <w:snapToGrid w:val="0"/>
        <w:spacing w:line="560" w:lineRule="exact"/>
        <w:ind w:firstLineChars="200" w:firstLine="640"/>
        <w:rPr>
          <w:rFonts w:ascii="楷体_GB2312" w:eastAsia="楷体_GB2312"/>
          <w:color w:val="000000"/>
          <w:sz w:val="32"/>
          <w:szCs w:val="32"/>
        </w:rPr>
      </w:pPr>
      <w:r w:rsidRPr="002401BD">
        <w:rPr>
          <w:rFonts w:ascii="楷体_GB2312" w:eastAsia="楷体_GB2312"/>
          <w:color w:val="000000"/>
          <w:sz w:val="32"/>
          <w:szCs w:val="32"/>
        </w:rPr>
        <w:t>（二）关于分阶段提交资料</w:t>
      </w:r>
    </w:p>
    <w:p w:rsidR="00887837" w:rsidRPr="002401BD" w:rsidRDefault="00887837" w:rsidP="00887837">
      <w:pPr>
        <w:spacing w:line="560" w:lineRule="exact"/>
        <w:ind w:firstLineChars="200" w:firstLine="640"/>
        <w:rPr>
          <w:rFonts w:eastAsia="仿宋_GB2312"/>
          <w:sz w:val="32"/>
          <w:szCs w:val="32"/>
        </w:rPr>
      </w:pPr>
      <w:r w:rsidRPr="00514025">
        <w:rPr>
          <w:rFonts w:eastAsia="仿宋_GB2312"/>
          <w:color w:val="000000"/>
          <w:sz w:val="32"/>
          <w:szCs w:val="32"/>
        </w:rPr>
        <w:t>由于</w:t>
      </w:r>
      <w:r w:rsidRPr="00514025">
        <w:rPr>
          <w:rFonts w:eastAsia="仿宋_GB2312"/>
          <w:color w:val="000000"/>
          <w:sz w:val="32"/>
          <w:szCs w:val="32"/>
        </w:rPr>
        <w:t>“</w:t>
      </w:r>
      <w:r w:rsidRPr="001D551A">
        <w:rPr>
          <w:rFonts w:eastAsia="仿宋_GB2312"/>
          <w:color w:val="000000"/>
          <w:sz w:val="32"/>
          <w:szCs w:val="32"/>
        </w:rPr>
        <w:t>标准煎液</w:t>
      </w:r>
      <w:r w:rsidRPr="001D551A">
        <w:rPr>
          <w:rFonts w:eastAsia="仿宋_GB2312"/>
          <w:color w:val="000000"/>
          <w:sz w:val="32"/>
          <w:szCs w:val="32"/>
        </w:rPr>
        <w:t>”</w:t>
      </w:r>
      <w:r w:rsidRPr="004642FE">
        <w:rPr>
          <w:rFonts w:eastAsia="仿宋_GB2312"/>
          <w:color w:val="000000"/>
          <w:sz w:val="32"/>
          <w:szCs w:val="32"/>
        </w:rPr>
        <w:t>是经典名方制剂的质量基准，因此需要一个经典名方对应一个</w:t>
      </w:r>
      <w:r w:rsidRPr="00032096">
        <w:rPr>
          <w:rFonts w:eastAsia="仿宋_GB2312"/>
          <w:color w:val="000000"/>
          <w:sz w:val="32"/>
          <w:szCs w:val="32"/>
        </w:rPr>
        <w:t>“</w:t>
      </w:r>
      <w:r w:rsidRPr="00032096">
        <w:rPr>
          <w:rFonts w:eastAsia="仿宋_GB2312"/>
          <w:color w:val="000000"/>
          <w:sz w:val="32"/>
          <w:szCs w:val="32"/>
        </w:rPr>
        <w:t>标准煎液</w:t>
      </w:r>
      <w:r w:rsidRPr="00032096">
        <w:rPr>
          <w:rFonts w:eastAsia="仿宋_GB2312"/>
          <w:color w:val="000000"/>
          <w:sz w:val="32"/>
          <w:szCs w:val="32"/>
        </w:rPr>
        <w:t>”</w:t>
      </w:r>
      <w:r w:rsidRPr="00C328ED">
        <w:rPr>
          <w:rFonts w:eastAsia="仿宋_GB2312"/>
          <w:color w:val="000000"/>
          <w:sz w:val="32"/>
          <w:szCs w:val="32"/>
        </w:rPr>
        <w:t>（处方含多基原药材的经典名方除外），由此需要先产生</w:t>
      </w:r>
      <w:r w:rsidRPr="00C328ED">
        <w:rPr>
          <w:rFonts w:eastAsia="仿宋_GB2312"/>
          <w:color w:val="000000"/>
          <w:sz w:val="32"/>
          <w:szCs w:val="32"/>
        </w:rPr>
        <w:t>“</w:t>
      </w:r>
      <w:r w:rsidRPr="002401BD">
        <w:rPr>
          <w:rFonts w:eastAsia="仿宋_GB2312"/>
          <w:color w:val="000000"/>
          <w:sz w:val="32"/>
          <w:szCs w:val="32"/>
        </w:rPr>
        <w:t>标准煎液</w:t>
      </w:r>
      <w:r w:rsidRPr="002401BD">
        <w:rPr>
          <w:rFonts w:eastAsia="仿宋_GB2312"/>
          <w:color w:val="000000"/>
          <w:sz w:val="32"/>
          <w:szCs w:val="32"/>
        </w:rPr>
        <w:t>”</w:t>
      </w:r>
      <w:r w:rsidRPr="002401BD">
        <w:rPr>
          <w:rFonts w:eastAsia="仿宋_GB2312"/>
          <w:color w:val="000000"/>
          <w:sz w:val="32"/>
          <w:szCs w:val="32"/>
        </w:rPr>
        <w:t>后，才能研制相应的经典名方制剂。考虑到同一品种有多家申报的情形，需要一个相对统一的</w:t>
      </w:r>
      <w:r w:rsidRPr="002401BD">
        <w:rPr>
          <w:rFonts w:eastAsia="仿宋_GB2312"/>
          <w:color w:val="000000"/>
          <w:sz w:val="32"/>
          <w:szCs w:val="32"/>
        </w:rPr>
        <w:t>“</w:t>
      </w:r>
      <w:r w:rsidRPr="002401BD">
        <w:rPr>
          <w:rFonts w:eastAsia="仿宋_GB2312"/>
          <w:color w:val="000000"/>
          <w:sz w:val="32"/>
          <w:szCs w:val="32"/>
        </w:rPr>
        <w:t>标准煎液</w:t>
      </w:r>
      <w:r w:rsidRPr="002401BD">
        <w:rPr>
          <w:rFonts w:eastAsia="仿宋_GB2312"/>
          <w:color w:val="000000"/>
          <w:sz w:val="32"/>
          <w:szCs w:val="32"/>
        </w:rPr>
        <w:t>”</w:t>
      </w:r>
      <w:r w:rsidRPr="002401BD">
        <w:rPr>
          <w:rFonts w:eastAsia="仿宋_GB2312"/>
          <w:color w:val="000000"/>
          <w:sz w:val="32"/>
          <w:szCs w:val="32"/>
        </w:rPr>
        <w:t>作为基准，使不同生产企业生产的同一经典名方制剂质量相对一致。为此，在食品药品监管总局发布某一经典名方</w:t>
      </w:r>
      <w:r w:rsidRPr="002401BD">
        <w:rPr>
          <w:rFonts w:eastAsia="仿宋_GB2312"/>
          <w:color w:val="000000"/>
          <w:sz w:val="32"/>
          <w:szCs w:val="32"/>
        </w:rPr>
        <w:t>“</w:t>
      </w:r>
      <w:r w:rsidRPr="002401BD">
        <w:rPr>
          <w:rFonts w:eastAsia="仿宋_GB2312"/>
          <w:color w:val="000000"/>
          <w:sz w:val="32"/>
          <w:szCs w:val="32"/>
        </w:rPr>
        <w:t>标准煎液</w:t>
      </w:r>
      <w:r w:rsidRPr="002401BD">
        <w:rPr>
          <w:rFonts w:eastAsia="仿宋_GB2312"/>
          <w:color w:val="000000"/>
          <w:sz w:val="32"/>
          <w:szCs w:val="32"/>
        </w:rPr>
        <w:t>”</w:t>
      </w:r>
      <w:r w:rsidRPr="002401BD">
        <w:rPr>
          <w:rFonts w:eastAsia="仿宋_GB2312"/>
          <w:color w:val="000000"/>
          <w:sz w:val="32"/>
          <w:szCs w:val="32"/>
        </w:rPr>
        <w:t>标准前，经典名方制剂申报生产可分阶段提交资料：</w:t>
      </w:r>
      <w:r w:rsidRPr="002401BD">
        <w:rPr>
          <w:rFonts w:eastAsia="仿宋_GB2312"/>
          <w:sz w:val="32"/>
          <w:szCs w:val="32"/>
        </w:rPr>
        <w:t>申请人最初可仅提供</w:t>
      </w:r>
      <w:r w:rsidRPr="002401BD">
        <w:rPr>
          <w:rFonts w:eastAsia="仿宋_GB2312"/>
          <w:sz w:val="32"/>
          <w:szCs w:val="32"/>
        </w:rPr>
        <w:t>“</w:t>
      </w:r>
      <w:r w:rsidRPr="002401BD">
        <w:rPr>
          <w:rFonts w:eastAsia="仿宋_GB2312"/>
          <w:sz w:val="32"/>
          <w:szCs w:val="32"/>
        </w:rPr>
        <w:t>标准煎液</w:t>
      </w:r>
      <w:r w:rsidRPr="002401BD">
        <w:rPr>
          <w:rFonts w:eastAsia="仿宋_GB2312"/>
          <w:sz w:val="32"/>
          <w:szCs w:val="32"/>
        </w:rPr>
        <w:t>”</w:t>
      </w:r>
      <w:r w:rsidRPr="002401BD">
        <w:rPr>
          <w:rFonts w:eastAsia="仿宋_GB2312"/>
          <w:sz w:val="32"/>
          <w:szCs w:val="32"/>
        </w:rPr>
        <w:t>有关的申报资料，在</w:t>
      </w:r>
      <w:r w:rsidRPr="002401BD">
        <w:rPr>
          <w:rFonts w:eastAsia="仿宋_GB2312"/>
          <w:sz w:val="32"/>
          <w:szCs w:val="32"/>
        </w:rPr>
        <w:t>“</w:t>
      </w:r>
      <w:r w:rsidRPr="002401BD">
        <w:rPr>
          <w:rFonts w:eastAsia="仿宋_GB2312"/>
          <w:sz w:val="32"/>
          <w:szCs w:val="32"/>
        </w:rPr>
        <w:t>标准煎液</w:t>
      </w:r>
      <w:r w:rsidRPr="002401BD">
        <w:rPr>
          <w:rFonts w:eastAsia="仿宋_GB2312"/>
          <w:sz w:val="32"/>
          <w:szCs w:val="32"/>
        </w:rPr>
        <w:t>”</w:t>
      </w:r>
      <w:r w:rsidRPr="002401BD">
        <w:rPr>
          <w:rFonts w:eastAsia="仿宋_GB2312"/>
          <w:sz w:val="32"/>
          <w:szCs w:val="32"/>
        </w:rPr>
        <w:t>标准发布后补充提交经典名方制剂的相关申报资料。该申请人因研究需要可延长补充资料的时限，同时向食品药品监管总局药审中心说明理由。</w:t>
      </w:r>
    </w:p>
    <w:p w:rsidR="00887837" w:rsidRPr="002401BD" w:rsidRDefault="00887837" w:rsidP="00887837">
      <w:pPr>
        <w:spacing w:line="560" w:lineRule="exact"/>
        <w:ind w:firstLineChars="200" w:firstLine="640"/>
        <w:rPr>
          <w:rFonts w:eastAsia="仿宋_GB2312"/>
          <w:color w:val="000000"/>
          <w:sz w:val="32"/>
          <w:szCs w:val="32"/>
        </w:rPr>
      </w:pPr>
      <w:r w:rsidRPr="002401BD">
        <w:rPr>
          <w:rFonts w:eastAsia="仿宋_GB2312"/>
          <w:color w:val="000000"/>
          <w:sz w:val="32"/>
          <w:szCs w:val="32"/>
        </w:rPr>
        <w:t>首家提交</w:t>
      </w:r>
      <w:r w:rsidRPr="002401BD">
        <w:rPr>
          <w:rFonts w:eastAsia="仿宋_GB2312"/>
          <w:color w:val="000000"/>
          <w:sz w:val="32"/>
          <w:szCs w:val="32"/>
        </w:rPr>
        <w:t>“</w:t>
      </w:r>
      <w:r w:rsidRPr="002401BD">
        <w:rPr>
          <w:rFonts w:eastAsia="仿宋_GB2312"/>
          <w:color w:val="000000"/>
          <w:sz w:val="32"/>
          <w:szCs w:val="32"/>
        </w:rPr>
        <w:t>标准煎液</w:t>
      </w:r>
      <w:r w:rsidRPr="002401BD">
        <w:rPr>
          <w:rFonts w:eastAsia="仿宋_GB2312"/>
          <w:color w:val="000000"/>
          <w:sz w:val="32"/>
          <w:szCs w:val="32"/>
        </w:rPr>
        <w:t>”</w:t>
      </w:r>
      <w:r w:rsidRPr="002401BD">
        <w:rPr>
          <w:rFonts w:eastAsia="仿宋_GB2312"/>
          <w:color w:val="000000"/>
          <w:sz w:val="32"/>
          <w:szCs w:val="32"/>
        </w:rPr>
        <w:t>后，药审中心进行</w:t>
      </w:r>
      <w:r w:rsidRPr="002401BD">
        <w:rPr>
          <w:rFonts w:eastAsia="仿宋_GB2312"/>
          <w:color w:val="000000"/>
          <w:sz w:val="32"/>
          <w:szCs w:val="32"/>
        </w:rPr>
        <w:t>6</w:t>
      </w:r>
      <w:r w:rsidRPr="002401BD">
        <w:rPr>
          <w:rFonts w:eastAsia="仿宋_GB2312"/>
          <w:color w:val="000000"/>
          <w:sz w:val="32"/>
          <w:szCs w:val="32"/>
        </w:rPr>
        <w:t>个月公示，公示期内其他单位可以继续申报。待公示期结束后，食品药品监管总局</w:t>
      </w:r>
      <w:r w:rsidRPr="002401BD">
        <w:rPr>
          <w:rFonts w:eastAsia="仿宋_GB2312"/>
          <w:color w:val="000000"/>
          <w:sz w:val="32"/>
          <w:szCs w:val="32"/>
        </w:rPr>
        <w:lastRenderedPageBreak/>
        <w:t>药审中心对收到的同一经典名方的</w:t>
      </w:r>
      <w:r w:rsidRPr="002401BD">
        <w:rPr>
          <w:rFonts w:eastAsia="仿宋_GB2312"/>
          <w:color w:val="000000"/>
          <w:sz w:val="32"/>
          <w:szCs w:val="32"/>
        </w:rPr>
        <w:t>“</w:t>
      </w:r>
      <w:r w:rsidRPr="002401BD">
        <w:rPr>
          <w:rFonts w:eastAsia="仿宋_GB2312"/>
          <w:color w:val="000000"/>
          <w:sz w:val="32"/>
          <w:szCs w:val="32"/>
        </w:rPr>
        <w:t>标准煎液</w:t>
      </w:r>
      <w:r w:rsidRPr="002401BD">
        <w:rPr>
          <w:rFonts w:eastAsia="仿宋_GB2312"/>
          <w:color w:val="000000"/>
          <w:sz w:val="32"/>
          <w:szCs w:val="32"/>
        </w:rPr>
        <w:t>”</w:t>
      </w:r>
      <w:r w:rsidRPr="002401BD">
        <w:rPr>
          <w:rFonts w:eastAsia="仿宋_GB2312"/>
          <w:color w:val="000000"/>
          <w:sz w:val="32"/>
          <w:szCs w:val="32"/>
        </w:rPr>
        <w:t>进行审核，最后由食品药品监管总局发布</w:t>
      </w:r>
      <w:r w:rsidRPr="002401BD">
        <w:rPr>
          <w:rFonts w:eastAsia="仿宋_GB2312"/>
          <w:color w:val="000000"/>
          <w:sz w:val="32"/>
          <w:szCs w:val="32"/>
        </w:rPr>
        <w:t>“</w:t>
      </w:r>
      <w:r w:rsidRPr="002401BD">
        <w:rPr>
          <w:rFonts w:eastAsia="仿宋_GB2312"/>
          <w:color w:val="000000"/>
          <w:sz w:val="32"/>
          <w:szCs w:val="32"/>
        </w:rPr>
        <w:t>标准煎液</w:t>
      </w:r>
      <w:r w:rsidRPr="002401BD">
        <w:rPr>
          <w:rFonts w:eastAsia="仿宋_GB2312"/>
          <w:color w:val="000000"/>
          <w:sz w:val="32"/>
          <w:szCs w:val="32"/>
        </w:rPr>
        <w:t>”</w:t>
      </w:r>
      <w:r w:rsidRPr="002401BD">
        <w:rPr>
          <w:rFonts w:eastAsia="仿宋_GB2312"/>
          <w:color w:val="000000"/>
          <w:sz w:val="32"/>
          <w:szCs w:val="32"/>
        </w:rPr>
        <w:t>标准。</w:t>
      </w:r>
    </w:p>
    <w:p w:rsidR="00887837" w:rsidRPr="002401BD" w:rsidRDefault="00887837" w:rsidP="00887837">
      <w:pPr>
        <w:snapToGrid w:val="0"/>
        <w:spacing w:line="560" w:lineRule="exact"/>
        <w:ind w:firstLineChars="200" w:firstLine="640"/>
        <w:rPr>
          <w:rFonts w:ascii="楷体_GB2312" w:eastAsia="楷体_GB2312"/>
          <w:color w:val="000000"/>
          <w:sz w:val="32"/>
          <w:szCs w:val="32"/>
        </w:rPr>
      </w:pPr>
      <w:r w:rsidRPr="002401BD">
        <w:rPr>
          <w:rFonts w:ascii="楷体_GB2312" w:eastAsia="楷体_GB2312"/>
          <w:color w:val="000000"/>
          <w:sz w:val="32"/>
          <w:szCs w:val="32"/>
        </w:rPr>
        <w:t>（三）关于质量控制</w:t>
      </w:r>
    </w:p>
    <w:p w:rsidR="00887837" w:rsidRPr="002401BD" w:rsidRDefault="00887837" w:rsidP="00887837">
      <w:pPr>
        <w:adjustRightInd w:val="0"/>
        <w:snapToGrid w:val="0"/>
        <w:spacing w:line="560" w:lineRule="exact"/>
        <w:ind w:firstLineChars="200" w:firstLine="640"/>
        <w:rPr>
          <w:rFonts w:eastAsia="仿宋_GB2312"/>
          <w:spacing w:val="2"/>
          <w:sz w:val="32"/>
          <w:szCs w:val="32"/>
        </w:rPr>
      </w:pPr>
      <w:r w:rsidRPr="00514025">
        <w:rPr>
          <w:rFonts w:eastAsia="仿宋_GB2312"/>
          <w:color w:val="000000"/>
          <w:sz w:val="32"/>
          <w:szCs w:val="32"/>
        </w:rPr>
        <w:t>中</w:t>
      </w:r>
      <w:r w:rsidRPr="002401BD">
        <w:rPr>
          <w:rFonts w:eastAsia="仿宋_GB2312"/>
          <w:color w:val="000000"/>
          <w:spacing w:val="2"/>
          <w:sz w:val="32"/>
          <w:szCs w:val="32"/>
        </w:rPr>
        <w:t>成药质量一</w:t>
      </w:r>
      <w:r w:rsidRPr="002401BD">
        <w:rPr>
          <w:rFonts w:eastAsia="仿宋_GB2312"/>
          <w:spacing w:val="2"/>
          <w:sz w:val="32"/>
          <w:szCs w:val="32"/>
        </w:rPr>
        <w:t>致</w:t>
      </w:r>
      <w:r w:rsidRPr="002401BD">
        <w:rPr>
          <w:rFonts w:eastAsia="仿宋_GB2312"/>
          <w:color w:val="000000"/>
          <w:spacing w:val="2"/>
          <w:sz w:val="32"/>
          <w:szCs w:val="32"/>
        </w:rPr>
        <w:t>性一直是中药质量控制的难点，单纯依靠终端标准检验有很大的局限性。为保证经典名方制剂质量疗效一</w:t>
      </w:r>
      <w:r w:rsidRPr="002401BD">
        <w:rPr>
          <w:rFonts w:eastAsia="仿宋_GB2312"/>
          <w:spacing w:val="2"/>
          <w:sz w:val="32"/>
          <w:szCs w:val="32"/>
        </w:rPr>
        <w:t>致</w:t>
      </w:r>
      <w:r w:rsidRPr="002401BD">
        <w:rPr>
          <w:rFonts w:eastAsia="仿宋_GB2312"/>
          <w:color w:val="000000"/>
          <w:spacing w:val="2"/>
          <w:sz w:val="32"/>
          <w:szCs w:val="32"/>
        </w:rPr>
        <w:t>，需要建立从药材源头到饮片、中间体、制剂全链条的质量控制措施，且整个过程需与</w:t>
      </w:r>
      <w:r w:rsidRPr="002401BD">
        <w:rPr>
          <w:rFonts w:eastAsia="仿宋_GB2312"/>
          <w:color w:val="000000"/>
          <w:spacing w:val="2"/>
          <w:sz w:val="32"/>
          <w:szCs w:val="32"/>
        </w:rPr>
        <w:t>“</w:t>
      </w:r>
      <w:r w:rsidRPr="002401BD">
        <w:rPr>
          <w:rFonts w:eastAsia="仿宋_GB2312"/>
          <w:color w:val="000000"/>
          <w:spacing w:val="2"/>
          <w:sz w:val="32"/>
          <w:szCs w:val="32"/>
        </w:rPr>
        <w:t>标准煎液</w:t>
      </w:r>
      <w:r w:rsidRPr="002401BD">
        <w:rPr>
          <w:rFonts w:eastAsia="仿宋_GB2312"/>
          <w:color w:val="000000"/>
          <w:spacing w:val="2"/>
          <w:sz w:val="32"/>
          <w:szCs w:val="32"/>
        </w:rPr>
        <w:t>”</w:t>
      </w:r>
      <w:r w:rsidRPr="002401BD">
        <w:rPr>
          <w:rFonts w:eastAsia="仿宋_GB2312"/>
          <w:color w:val="000000"/>
          <w:spacing w:val="2"/>
          <w:sz w:val="32"/>
          <w:szCs w:val="32"/>
        </w:rPr>
        <w:t>比对。在质量比对、控制中，</w:t>
      </w:r>
      <w:r w:rsidRPr="002401BD">
        <w:rPr>
          <w:rFonts w:eastAsia="仿宋_GB2312"/>
          <w:bCs/>
          <w:color w:val="000000"/>
          <w:spacing w:val="2"/>
          <w:sz w:val="32"/>
          <w:szCs w:val="32"/>
        </w:rPr>
        <w:t>质量评价的指标和方法尤为关键。指标的选择需要</w:t>
      </w:r>
      <w:r w:rsidRPr="002401BD">
        <w:rPr>
          <w:rFonts w:eastAsia="仿宋_GB2312"/>
          <w:spacing w:val="2"/>
          <w:sz w:val="32"/>
          <w:szCs w:val="32"/>
        </w:rPr>
        <w:t>综合考虑药材</w:t>
      </w:r>
      <w:r w:rsidRPr="002401BD">
        <w:rPr>
          <w:rFonts w:eastAsia="仿宋_GB2312"/>
          <w:spacing w:val="2"/>
          <w:sz w:val="32"/>
          <w:szCs w:val="32"/>
        </w:rPr>
        <w:t>-</w:t>
      </w:r>
      <w:r w:rsidRPr="002401BD">
        <w:rPr>
          <w:rFonts w:eastAsia="仿宋_GB2312"/>
          <w:spacing w:val="2"/>
          <w:sz w:val="32"/>
          <w:szCs w:val="32"/>
        </w:rPr>
        <w:t>饮片</w:t>
      </w:r>
      <w:r w:rsidRPr="002401BD">
        <w:rPr>
          <w:rFonts w:eastAsia="仿宋_GB2312"/>
          <w:spacing w:val="2"/>
          <w:sz w:val="32"/>
          <w:szCs w:val="32"/>
        </w:rPr>
        <w:t>-</w:t>
      </w:r>
      <w:r w:rsidRPr="002401BD">
        <w:rPr>
          <w:rFonts w:eastAsia="仿宋_GB2312"/>
          <w:color w:val="000000"/>
          <w:spacing w:val="2"/>
          <w:sz w:val="32"/>
          <w:szCs w:val="32"/>
        </w:rPr>
        <w:t>“</w:t>
      </w:r>
      <w:r w:rsidRPr="002401BD">
        <w:rPr>
          <w:rFonts w:eastAsia="仿宋_GB2312"/>
          <w:color w:val="000000"/>
          <w:spacing w:val="2"/>
          <w:sz w:val="32"/>
          <w:szCs w:val="32"/>
        </w:rPr>
        <w:t>标准煎液</w:t>
      </w:r>
      <w:r w:rsidRPr="002401BD">
        <w:rPr>
          <w:rFonts w:eastAsia="仿宋_GB2312"/>
          <w:color w:val="000000"/>
          <w:spacing w:val="2"/>
          <w:sz w:val="32"/>
          <w:szCs w:val="32"/>
        </w:rPr>
        <w:t>”-</w:t>
      </w:r>
      <w:r w:rsidRPr="002401BD">
        <w:rPr>
          <w:rFonts w:eastAsia="仿宋_GB2312"/>
          <w:color w:val="000000"/>
          <w:spacing w:val="2"/>
          <w:sz w:val="32"/>
          <w:szCs w:val="32"/>
        </w:rPr>
        <w:t>制剂</w:t>
      </w:r>
      <w:r w:rsidRPr="002401BD">
        <w:rPr>
          <w:rFonts w:eastAsia="仿宋_GB2312"/>
          <w:spacing w:val="2"/>
          <w:sz w:val="32"/>
          <w:szCs w:val="32"/>
        </w:rPr>
        <w:t>的相关性以及与临床疗效的相关性，需采用指纹图谱或特征图谱等整体控制方式对中间体、制剂的质量进行控制，鼓励使用生物活性检测等方法。同时，食品药品监管总局药化注册司参照国际上质量控制的先进理念，引入了</w:t>
      </w:r>
      <w:r w:rsidRPr="002401BD">
        <w:rPr>
          <w:rFonts w:eastAsia="仿宋_GB2312"/>
          <w:spacing w:val="2"/>
          <w:sz w:val="32"/>
          <w:szCs w:val="32"/>
        </w:rPr>
        <w:t>“</w:t>
      </w:r>
      <w:r w:rsidRPr="002401BD">
        <w:rPr>
          <w:rFonts w:eastAsia="仿宋_GB2312"/>
          <w:spacing w:val="2"/>
          <w:sz w:val="32"/>
          <w:szCs w:val="32"/>
        </w:rPr>
        <w:t>质量属性</w:t>
      </w:r>
      <w:r w:rsidRPr="002401BD">
        <w:rPr>
          <w:rFonts w:eastAsia="仿宋_GB2312"/>
          <w:spacing w:val="2"/>
          <w:sz w:val="32"/>
          <w:szCs w:val="32"/>
        </w:rPr>
        <w:t>”</w:t>
      </w:r>
      <w:r w:rsidRPr="002401BD">
        <w:rPr>
          <w:rFonts w:eastAsia="仿宋_GB2312"/>
          <w:spacing w:val="2"/>
          <w:sz w:val="32"/>
          <w:szCs w:val="32"/>
        </w:rPr>
        <w:t>的要求，申请人需要对那些影响药品安全性、有效性或一致性的物理、化学、生物活性等质量特性进行研究，并据此选择评价指标。</w:t>
      </w:r>
    </w:p>
    <w:p w:rsidR="00887837" w:rsidRPr="002401BD" w:rsidRDefault="00887837" w:rsidP="00887837">
      <w:pPr>
        <w:snapToGrid w:val="0"/>
        <w:spacing w:line="560" w:lineRule="exact"/>
        <w:ind w:firstLineChars="200" w:firstLine="648"/>
        <w:rPr>
          <w:rFonts w:ascii="楷体_GB2312" w:eastAsia="楷体_GB2312"/>
          <w:color w:val="000000"/>
          <w:sz w:val="32"/>
          <w:szCs w:val="32"/>
        </w:rPr>
      </w:pPr>
      <w:r w:rsidRPr="002401BD">
        <w:rPr>
          <w:rFonts w:ascii="楷体_GB2312" w:eastAsia="楷体_GB2312"/>
          <w:color w:val="000000"/>
          <w:spacing w:val="2"/>
          <w:sz w:val="32"/>
          <w:szCs w:val="32"/>
        </w:rPr>
        <w:t>（</w:t>
      </w:r>
      <w:r w:rsidRPr="002401BD">
        <w:rPr>
          <w:rFonts w:ascii="楷体_GB2312" w:eastAsia="楷体_GB2312"/>
          <w:color w:val="000000"/>
          <w:sz w:val="32"/>
          <w:szCs w:val="32"/>
        </w:rPr>
        <w:t>四）关于非临床安全性研究</w:t>
      </w:r>
    </w:p>
    <w:p w:rsidR="00887837" w:rsidRPr="002401BD" w:rsidRDefault="00887837" w:rsidP="00887837">
      <w:pPr>
        <w:spacing w:line="560" w:lineRule="exact"/>
        <w:ind w:firstLineChars="200" w:firstLine="640"/>
        <w:rPr>
          <w:rFonts w:eastAsia="仿宋_GB2312"/>
          <w:sz w:val="32"/>
          <w:szCs w:val="32"/>
        </w:rPr>
      </w:pPr>
      <w:r w:rsidRPr="00514025">
        <w:rPr>
          <w:rFonts w:eastAsia="仿宋_GB2312"/>
          <w:sz w:val="32"/>
          <w:szCs w:val="32"/>
        </w:rPr>
        <w:t>经典名方虽然有着长期的人用史，但一直缺乏系统的非临床安全性研究；科技部</w:t>
      </w:r>
      <w:r w:rsidRPr="00514025">
        <w:rPr>
          <w:rFonts w:eastAsia="仿宋_GB2312"/>
          <w:sz w:val="32"/>
          <w:szCs w:val="32"/>
        </w:rPr>
        <w:t>“</w:t>
      </w:r>
      <w:r w:rsidRPr="001D551A">
        <w:rPr>
          <w:rFonts w:eastAsia="仿宋_GB2312"/>
          <w:sz w:val="32"/>
          <w:szCs w:val="32"/>
        </w:rPr>
        <w:t>十二五</w:t>
      </w:r>
      <w:r w:rsidRPr="001D551A">
        <w:rPr>
          <w:rFonts w:eastAsia="仿宋_GB2312"/>
          <w:sz w:val="32"/>
          <w:szCs w:val="32"/>
        </w:rPr>
        <w:t>”</w:t>
      </w:r>
      <w:r w:rsidRPr="004642FE">
        <w:rPr>
          <w:rFonts w:eastAsia="仿宋_GB2312"/>
          <w:sz w:val="32"/>
          <w:szCs w:val="32"/>
        </w:rPr>
        <w:t>有关专项在</w:t>
      </w:r>
      <w:r w:rsidRPr="00032096">
        <w:rPr>
          <w:rFonts w:eastAsia="仿宋_GB2312"/>
          <w:kern w:val="0"/>
          <w:sz w:val="32"/>
          <w:szCs w:val="32"/>
        </w:rPr>
        <w:t>非临床安全性研究中</w:t>
      </w:r>
      <w:r w:rsidRPr="00032096">
        <w:rPr>
          <w:rFonts w:eastAsia="仿宋_GB2312"/>
          <w:sz w:val="32"/>
          <w:szCs w:val="32"/>
        </w:rPr>
        <w:t>已发现个别经典名方出现明显安全性风险，也说明经典名方制剂有必要进行</w:t>
      </w:r>
      <w:r w:rsidRPr="00C328ED">
        <w:rPr>
          <w:rFonts w:eastAsia="仿宋_GB2312"/>
          <w:kern w:val="0"/>
          <w:sz w:val="32"/>
          <w:szCs w:val="32"/>
        </w:rPr>
        <w:t>非临床安全性研究；</w:t>
      </w:r>
      <w:r w:rsidRPr="00C328ED">
        <w:rPr>
          <w:rFonts w:eastAsia="仿宋_GB2312"/>
          <w:sz w:val="32"/>
          <w:szCs w:val="32"/>
        </w:rPr>
        <w:t>此外，一些药材存在多基原的现象，而不同基原的使用可能带来不同的</w:t>
      </w:r>
      <w:r w:rsidRPr="002401BD">
        <w:rPr>
          <w:rFonts w:eastAsia="仿宋_GB2312"/>
          <w:sz w:val="32"/>
          <w:szCs w:val="32"/>
        </w:rPr>
        <w:t>安全风险。因此从保证公众安全用药出发，规定每个经典名方制剂申请人均需系统、深入地开展</w:t>
      </w:r>
      <w:r w:rsidRPr="002401BD">
        <w:rPr>
          <w:rFonts w:eastAsia="仿宋_GB2312"/>
          <w:kern w:val="0"/>
          <w:sz w:val="32"/>
          <w:szCs w:val="32"/>
        </w:rPr>
        <w:t>非临床安全性研究</w:t>
      </w:r>
      <w:r w:rsidRPr="002401BD">
        <w:rPr>
          <w:rFonts w:eastAsia="仿宋_GB2312"/>
          <w:sz w:val="32"/>
          <w:szCs w:val="32"/>
        </w:rPr>
        <w:t>。</w:t>
      </w:r>
    </w:p>
    <w:p w:rsidR="00887837" w:rsidRPr="002401BD" w:rsidRDefault="00887837" w:rsidP="00887837">
      <w:pPr>
        <w:snapToGrid w:val="0"/>
        <w:spacing w:line="560" w:lineRule="exact"/>
        <w:ind w:firstLineChars="200" w:firstLine="640"/>
        <w:rPr>
          <w:rFonts w:ascii="楷体_GB2312" w:eastAsia="楷体_GB2312"/>
          <w:color w:val="000000"/>
          <w:sz w:val="32"/>
          <w:szCs w:val="32"/>
        </w:rPr>
      </w:pPr>
      <w:r w:rsidRPr="002401BD">
        <w:rPr>
          <w:rFonts w:ascii="楷体_GB2312" w:eastAsia="楷体_GB2312"/>
          <w:color w:val="000000"/>
          <w:sz w:val="32"/>
          <w:szCs w:val="32"/>
        </w:rPr>
        <w:lastRenderedPageBreak/>
        <w:t>（五）关于和其他药品注册制度的衔接</w:t>
      </w:r>
    </w:p>
    <w:p w:rsidR="00887837" w:rsidRPr="00514025" w:rsidRDefault="00887837" w:rsidP="00887837">
      <w:pPr>
        <w:spacing w:line="560" w:lineRule="exact"/>
        <w:ind w:firstLineChars="200" w:firstLine="640"/>
        <w:rPr>
          <w:rFonts w:eastAsia="仿宋_GB2312"/>
          <w:color w:val="000000"/>
          <w:sz w:val="32"/>
          <w:szCs w:val="32"/>
        </w:rPr>
      </w:pPr>
      <w:r w:rsidRPr="00514025">
        <w:rPr>
          <w:rFonts w:eastAsia="仿宋_GB2312"/>
          <w:color w:val="000000"/>
          <w:sz w:val="32"/>
          <w:szCs w:val="32"/>
        </w:rPr>
        <w:t>在《规定（征求意见稿）》中增加了兜底条款，以便使经典</w:t>
      </w:r>
      <w:bookmarkStart w:id="0" w:name="_GoBack"/>
      <w:bookmarkEnd w:id="0"/>
      <w:r w:rsidRPr="00514025">
        <w:rPr>
          <w:rFonts w:eastAsia="仿宋_GB2312"/>
          <w:color w:val="000000"/>
          <w:sz w:val="32"/>
          <w:szCs w:val="32"/>
        </w:rPr>
        <w:t>名方制剂注册和上市许可人制度及其他有关注册管理制度顺利衔接。</w:t>
      </w:r>
    </w:p>
    <w:p w:rsidR="00887837" w:rsidRPr="002401BD" w:rsidRDefault="00887837" w:rsidP="00887837">
      <w:pPr>
        <w:spacing w:line="560" w:lineRule="exact"/>
        <w:ind w:firstLineChars="200" w:firstLine="420"/>
        <w:rPr>
          <w:rFonts w:eastAsia="仿宋_GB2312"/>
        </w:rPr>
      </w:pPr>
    </w:p>
    <w:p w:rsidR="00887837" w:rsidRPr="002401BD" w:rsidRDefault="00887837" w:rsidP="00887837">
      <w:pPr>
        <w:spacing w:line="560" w:lineRule="exact"/>
        <w:ind w:firstLineChars="200" w:firstLine="420"/>
        <w:rPr>
          <w:rFonts w:eastAsia="仿宋_GB2312"/>
        </w:rPr>
      </w:pPr>
    </w:p>
    <w:p w:rsidR="00887837" w:rsidRPr="009229AD" w:rsidRDefault="00887837" w:rsidP="00887837">
      <w:pPr>
        <w:rPr>
          <w:rFonts w:eastAsia="仿宋_GB2312"/>
        </w:rPr>
      </w:pPr>
    </w:p>
    <w:p w:rsidR="00887837" w:rsidRPr="009229AD" w:rsidRDefault="00887837" w:rsidP="00887837">
      <w:pPr>
        <w:rPr>
          <w:rFonts w:eastAsia="仿宋_GB2312"/>
          <w:sz w:val="32"/>
          <w:szCs w:val="32"/>
        </w:rPr>
      </w:pPr>
    </w:p>
    <w:p w:rsidR="00887837" w:rsidRPr="009229AD" w:rsidRDefault="00887837" w:rsidP="00887837">
      <w:pPr>
        <w:rPr>
          <w:rFonts w:eastAsia="仿宋_GB2312"/>
          <w:sz w:val="32"/>
          <w:szCs w:val="32"/>
        </w:rPr>
      </w:pPr>
    </w:p>
    <w:p w:rsidR="00887837" w:rsidRPr="009229AD" w:rsidRDefault="00887837" w:rsidP="00887837">
      <w:pPr>
        <w:rPr>
          <w:rFonts w:eastAsia="仿宋_GB2312"/>
          <w:sz w:val="32"/>
          <w:szCs w:val="32"/>
        </w:rPr>
      </w:pPr>
    </w:p>
    <w:p w:rsidR="00887837" w:rsidRPr="009229AD" w:rsidRDefault="00887837" w:rsidP="00887837">
      <w:pPr>
        <w:rPr>
          <w:rFonts w:eastAsia="仿宋_GB2312"/>
          <w:sz w:val="32"/>
          <w:szCs w:val="32"/>
        </w:rPr>
      </w:pPr>
    </w:p>
    <w:p w:rsidR="00887837" w:rsidRPr="009229AD" w:rsidRDefault="00887837" w:rsidP="00887837">
      <w:pPr>
        <w:rPr>
          <w:rFonts w:eastAsia="仿宋_GB2312"/>
          <w:sz w:val="32"/>
          <w:szCs w:val="32"/>
        </w:rPr>
      </w:pPr>
    </w:p>
    <w:p w:rsidR="00887837" w:rsidRPr="009229AD" w:rsidRDefault="001D6433" w:rsidP="00887837">
      <w:pPr>
        <w:ind w:leftChars="153" w:left="1679" w:hangingChars="485" w:hanging="1358"/>
        <w:rPr>
          <w:rFonts w:eastAsia="仿宋_GB2312"/>
          <w:sz w:val="28"/>
          <w:szCs w:val="28"/>
        </w:rPr>
      </w:pPr>
      <w:r w:rsidRPr="001D6433">
        <w:rPr>
          <w:noProof/>
          <w:sz w:val="28"/>
          <w:szCs w:val="28"/>
        </w:rPr>
        <w:pict>
          <v:line id="直接连接符 1" o:spid="_x0000_s1027" style="position:absolute;left:0;text-align:left;z-index:251659264;visibility:visible" from="-9pt,639.6pt" to="414pt,6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" strokeweight="4pt">
            <v:stroke linestyle="thinThick"/>
          </v:line>
        </w:pict>
      </w:r>
      <w:bookmarkStart w:id="1" w:name="ChaoSongΩ1"/>
      <w:bookmarkEnd w:id="1"/>
    </w:p>
    <w:p w:rsidR="00CC4CB9" w:rsidRPr="00887837" w:rsidRDefault="00CC4CB9"/>
    <w:sectPr w:rsidR="00CC4CB9" w:rsidRPr="00887837" w:rsidSect="002401BD">
      <w:footerReference w:type="even" r:id="rId6"/>
      <w:footerReference w:type="default" r:id="rId7"/>
      <w:pgSz w:w="11906" w:h="16838"/>
      <w:pgMar w:top="1928" w:right="1531" w:bottom="1814" w:left="1531" w:header="851" w:footer="1247"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2BC" w:rsidRDefault="009C42BC" w:rsidP="00887837">
      <w:r>
        <w:separator/>
      </w:r>
    </w:p>
  </w:endnote>
  <w:endnote w:type="continuationSeparator" w:id="0">
    <w:p w:rsidR="009C42BC" w:rsidRDefault="009C42BC" w:rsidP="008878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5DA" w:rsidRPr="002401BD" w:rsidRDefault="00A55394">
    <w:pPr>
      <w:pStyle w:val="a4"/>
      <w:rPr>
        <w:sz w:val="28"/>
        <w:szCs w:val="28"/>
      </w:rPr>
    </w:pPr>
    <w:r w:rsidRPr="002401BD">
      <w:rPr>
        <w:rFonts w:hint="eastAsia"/>
        <w:color w:val="FFFFFF"/>
        <w:sz w:val="28"/>
        <w:szCs w:val="28"/>
      </w:rPr>
      <w:t>—</w:t>
    </w:r>
    <w:r w:rsidRPr="002401BD">
      <w:rPr>
        <w:rFonts w:hint="eastAsia"/>
        <w:sz w:val="28"/>
        <w:szCs w:val="28"/>
      </w:rPr>
      <w:t>—</w:t>
    </w:r>
    <w:r w:rsidRPr="002401BD">
      <w:rPr>
        <w:rFonts w:hint="eastAsia"/>
        <w:sz w:val="28"/>
        <w:szCs w:val="28"/>
      </w:rPr>
      <w:t xml:space="preserve"> </w:t>
    </w:r>
    <w:r w:rsidR="001D6433" w:rsidRPr="002401BD">
      <w:rPr>
        <w:sz w:val="28"/>
        <w:szCs w:val="28"/>
      </w:rPr>
      <w:fldChar w:fldCharType="begin"/>
    </w:r>
    <w:r w:rsidRPr="002401BD">
      <w:rPr>
        <w:sz w:val="28"/>
        <w:szCs w:val="28"/>
      </w:rPr>
      <w:instrText>PAGE   \* MERGEFORMAT</w:instrText>
    </w:r>
    <w:r w:rsidR="001D6433" w:rsidRPr="002401BD">
      <w:rPr>
        <w:sz w:val="28"/>
        <w:szCs w:val="28"/>
      </w:rPr>
      <w:fldChar w:fldCharType="separate"/>
    </w:r>
    <w:r w:rsidRPr="00F47EE4">
      <w:rPr>
        <w:noProof/>
        <w:sz w:val="28"/>
        <w:szCs w:val="28"/>
        <w:lang w:val="zh-CN"/>
      </w:rPr>
      <w:t>62</w:t>
    </w:r>
    <w:r w:rsidR="001D6433" w:rsidRPr="002401BD">
      <w:rPr>
        <w:sz w:val="28"/>
        <w:szCs w:val="28"/>
      </w:rPr>
      <w:fldChar w:fldCharType="end"/>
    </w:r>
    <w:r w:rsidRPr="002401BD">
      <w:rPr>
        <w:rFonts w:hint="eastAsia"/>
        <w:sz w:val="28"/>
        <w:szCs w:val="28"/>
      </w:rPr>
      <w:t xml:space="preserve"> </w:t>
    </w:r>
    <w:r w:rsidRPr="002401BD">
      <w:rPr>
        <w:rFonts w:hint="eastAsia"/>
        <w:sz w:val="28"/>
        <w:szCs w:val="28"/>
      </w:rPr>
      <w:t>—</w:t>
    </w:r>
  </w:p>
  <w:p w:rsidR="00054F05" w:rsidRDefault="009C42BC" w:rsidP="009229AD">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5DA" w:rsidRPr="002401BD" w:rsidRDefault="00A55394" w:rsidP="002401BD">
    <w:pPr>
      <w:pStyle w:val="a4"/>
      <w:wordWrap w:val="0"/>
      <w:jc w:val="right"/>
      <w:rPr>
        <w:sz w:val="28"/>
        <w:szCs w:val="28"/>
      </w:rPr>
    </w:pPr>
    <w:r w:rsidRPr="002401BD">
      <w:rPr>
        <w:rFonts w:hint="eastAsia"/>
        <w:sz w:val="28"/>
        <w:szCs w:val="28"/>
      </w:rPr>
      <w:t>—</w:t>
    </w:r>
    <w:r w:rsidRPr="002401BD">
      <w:rPr>
        <w:rFonts w:hint="eastAsia"/>
        <w:sz w:val="28"/>
        <w:szCs w:val="28"/>
      </w:rPr>
      <w:t xml:space="preserve"> </w:t>
    </w:r>
    <w:r w:rsidR="001D6433" w:rsidRPr="002401BD">
      <w:rPr>
        <w:sz w:val="28"/>
        <w:szCs w:val="28"/>
      </w:rPr>
      <w:fldChar w:fldCharType="begin"/>
    </w:r>
    <w:r w:rsidRPr="002401BD">
      <w:rPr>
        <w:sz w:val="28"/>
        <w:szCs w:val="28"/>
      </w:rPr>
      <w:instrText>PAGE   \* MERGEFORMAT</w:instrText>
    </w:r>
    <w:r w:rsidR="001D6433" w:rsidRPr="002401BD">
      <w:rPr>
        <w:sz w:val="28"/>
        <w:szCs w:val="28"/>
      </w:rPr>
      <w:fldChar w:fldCharType="separate"/>
    </w:r>
    <w:r w:rsidR="00676121" w:rsidRPr="00676121">
      <w:rPr>
        <w:noProof/>
        <w:sz w:val="28"/>
        <w:szCs w:val="28"/>
        <w:lang w:val="zh-CN"/>
      </w:rPr>
      <w:t>6</w:t>
    </w:r>
    <w:r w:rsidR="001D6433" w:rsidRPr="002401BD">
      <w:rPr>
        <w:sz w:val="28"/>
        <w:szCs w:val="28"/>
      </w:rPr>
      <w:fldChar w:fldCharType="end"/>
    </w:r>
    <w:r w:rsidRPr="002401BD">
      <w:rPr>
        <w:rFonts w:hint="eastAsia"/>
        <w:sz w:val="28"/>
        <w:szCs w:val="28"/>
      </w:rPr>
      <w:t xml:space="preserve"> </w:t>
    </w:r>
    <w:r w:rsidRPr="002401BD">
      <w:rPr>
        <w:rFonts w:hint="eastAsia"/>
        <w:sz w:val="28"/>
        <w:szCs w:val="28"/>
      </w:rPr>
      <w:t>—</w:t>
    </w:r>
    <w:r w:rsidRPr="002401BD">
      <w:rPr>
        <w:rFonts w:hint="eastAsia"/>
        <w:color w:val="FFFFFF"/>
        <w:sz w:val="28"/>
        <w:szCs w:val="28"/>
      </w:rPr>
      <w:t>—</w:t>
    </w:r>
  </w:p>
  <w:p w:rsidR="00054F05" w:rsidRDefault="009C42BC" w:rsidP="00BC1D01">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2BC" w:rsidRDefault="009C42BC" w:rsidP="00887837">
      <w:r>
        <w:separator/>
      </w:r>
    </w:p>
  </w:footnote>
  <w:footnote w:type="continuationSeparator" w:id="0">
    <w:p w:rsidR="009C42BC" w:rsidRDefault="009C42BC" w:rsidP="008878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5BF3"/>
    <w:rsid w:val="001D6433"/>
    <w:rsid w:val="005B5FCD"/>
    <w:rsid w:val="00676121"/>
    <w:rsid w:val="00775FAD"/>
    <w:rsid w:val="00887837"/>
    <w:rsid w:val="009C42BC"/>
    <w:rsid w:val="00A55394"/>
    <w:rsid w:val="00AC018F"/>
    <w:rsid w:val="00CC0610"/>
    <w:rsid w:val="00CC4CB9"/>
    <w:rsid w:val="00D505FF"/>
    <w:rsid w:val="00EC5B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837"/>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887837"/>
    <w:pPr>
      <w:keepNext/>
      <w:keepLines/>
      <w:widowControl/>
      <w:spacing w:before="340" w:after="330" w:line="576" w:lineRule="auto"/>
      <w:jc w:val="left"/>
      <w:outlineLvl w:val="0"/>
    </w:pPr>
    <w:rPr>
      <w:rFonts w:ascii="Calibri" w:hAnsi="Calibri"/>
      <w:b/>
      <w:bCs/>
      <w:kern w:val="44"/>
      <w:sz w:val="44"/>
      <w:szCs w:val="44"/>
    </w:rPr>
  </w:style>
  <w:style w:type="paragraph" w:styleId="2">
    <w:name w:val="heading 2"/>
    <w:basedOn w:val="a"/>
    <w:next w:val="a"/>
    <w:link w:val="2Char"/>
    <w:uiPriority w:val="9"/>
    <w:semiHidden/>
    <w:unhideWhenUsed/>
    <w:qFormat/>
    <w:rsid w:val="00887837"/>
    <w:pPr>
      <w:keepNext/>
      <w:widowControl/>
      <w:spacing w:before="240" w:after="60"/>
      <w:jc w:val="left"/>
      <w:outlineLvl w:val="1"/>
    </w:pPr>
    <w:rPr>
      <w:rFonts w:ascii="Cambria" w:hAnsi="Cambria"/>
      <w:b/>
      <w:bCs/>
      <w:i/>
      <w:iCs/>
      <w:kern w:val="0"/>
      <w:sz w:val="28"/>
      <w:szCs w:val="28"/>
    </w:rPr>
  </w:style>
  <w:style w:type="paragraph" w:styleId="3">
    <w:name w:val="heading 3"/>
    <w:basedOn w:val="a"/>
    <w:next w:val="a"/>
    <w:link w:val="3Char"/>
    <w:uiPriority w:val="9"/>
    <w:semiHidden/>
    <w:unhideWhenUsed/>
    <w:qFormat/>
    <w:rsid w:val="00887837"/>
    <w:pPr>
      <w:keepNext/>
      <w:widowControl/>
      <w:spacing w:before="240" w:after="60"/>
      <w:jc w:val="left"/>
      <w:outlineLvl w:val="2"/>
    </w:pPr>
    <w:rPr>
      <w:rFonts w:ascii="Cambria" w:hAnsi="Cambria"/>
      <w:b/>
      <w:bCs/>
      <w:kern w:val="0"/>
      <w:sz w:val="26"/>
      <w:szCs w:val="26"/>
    </w:rPr>
  </w:style>
  <w:style w:type="paragraph" w:styleId="4">
    <w:name w:val="heading 4"/>
    <w:basedOn w:val="a"/>
    <w:next w:val="a"/>
    <w:link w:val="4Char"/>
    <w:uiPriority w:val="9"/>
    <w:semiHidden/>
    <w:unhideWhenUsed/>
    <w:qFormat/>
    <w:rsid w:val="00887837"/>
    <w:pPr>
      <w:keepNext/>
      <w:widowControl/>
      <w:spacing w:before="240" w:after="60"/>
      <w:jc w:val="left"/>
      <w:outlineLvl w:val="3"/>
    </w:pPr>
    <w:rPr>
      <w:rFonts w:ascii="Calibri" w:hAnsi="Calibri"/>
      <w:b/>
      <w:bCs/>
      <w:kern w:val="0"/>
      <w:sz w:val="28"/>
      <w:szCs w:val="28"/>
    </w:rPr>
  </w:style>
  <w:style w:type="paragraph" w:styleId="5">
    <w:name w:val="heading 5"/>
    <w:basedOn w:val="a"/>
    <w:next w:val="a"/>
    <w:link w:val="5Char"/>
    <w:uiPriority w:val="9"/>
    <w:semiHidden/>
    <w:unhideWhenUsed/>
    <w:qFormat/>
    <w:rsid w:val="00887837"/>
    <w:pPr>
      <w:widowControl/>
      <w:spacing w:before="240" w:after="60"/>
      <w:jc w:val="left"/>
      <w:outlineLvl w:val="4"/>
    </w:pPr>
    <w:rPr>
      <w:rFonts w:ascii="Calibri" w:hAnsi="Calibri"/>
      <w:b/>
      <w:bCs/>
      <w:i/>
      <w:iCs/>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78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87837"/>
    <w:rPr>
      <w:sz w:val="18"/>
      <w:szCs w:val="18"/>
    </w:rPr>
  </w:style>
  <w:style w:type="paragraph" w:styleId="a4">
    <w:name w:val="footer"/>
    <w:basedOn w:val="a"/>
    <w:link w:val="Char0"/>
    <w:uiPriority w:val="99"/>
    <w:unhideWhenUsed/>
    <w:rsid w:val="008878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87837"/>
    <w:rPr>
      <w:sz w:val="18"/>
      <w:szCs w:val="18"/>
    </w:rPr>
  </w:style>
  <w:style w:type="character" w:customStyle="1" w:styleId="1Char">
    <w:name w:val="标题 1 Char"/>
    <w:basedOn w:val="a0"/>
    <w:link w:val="1"/>
    <w:uiPriority w:val="9"/>
    <w:rsid w:val="00887837"/>
    <w:rPr>
      <w:rFonts w:ascii="Calibri" w:eastAsia="宋体" w:hAnsi="Calibri" w:cs="Times New Roman"/>
      <w:b/>
      <w:bCs/>
      <w:kern w:val="44"/>
      <w:sz w:val="44"/>
      <w:szCs w:val="44"/>
    </w:rPr>
  </w:style>
  <w:style w:type="character" w:customStyle="1" w:styleId="2Char">
    <w:name w:val="标题 2 Char"/>
    <w:basedOn w:val="a0"/>
    <w:link w:val="2"/>
    <w:uiPriority w:val="9"/>
    <w:semiHidden/>
    <w:rsid w:val="00887837"/>
    <w:rPr>
      <w:rFonts w:ascii="Cambria" w:eastAsia="宋体" w:hAnsi="Cambria" w:cs="Times New Roman"/>
      <w:b/>
      <w:bCs/>
      <w:i/>
      <w:iCs/>
      <w:kern w:val="0"/>
      <w:sz w:val="28"/>
      <w:szCs w:val="28"/>
    </w:rPr>
  </w:style>
  <w:style w:type="character" w:customStyle="1" w:styleId="3Char">
    <w:name w:val="标题 3 Char"/>
    <w:basedOn w:val="a0"/>
    <w:link w:val="3"/>
    <w:uiPriority w:val="9"/>
    <w:semiHidden/>
    <w:rsid w:val="00887837"/>
    <w:rPr>
      <w:rFonts w:ascii="Cambria" w:eastAsia="宋体" w:hAnsi="Cambria" w:cs="Times New Roman"/>
      <w:b/>
      <w:bCs/>
      <w:kern w:val="0"/>
      <w:sz w:val="26"/>
      <w:szCs w:val="26"/>
    </w:rPr>
  </w:style>
  <w:style w:type="character" w:customStyle="1" w:styleId="4Char">
    <w:name w:val="标题 4 Char"/>
    <w:basedOn w:val="a0"/>
    <w:link w:val="4"/>
    <w:uiPriority w:val="9"/>
    <w:semiHidden/>
    <w:rsid w:val="00887837"/>
    <w:rPr>
      <w:rFonts w:ascii="Calibri" w:eastAsia="宋体" w:hAnsi="Calibri" w:cs="Times New Roman"/>
      <w:b/>
      <w:bCs/>
      <w:kern w:val="0"/>
      <w:sz w:val="28"/>
      <w:szCs w:val="28"/>
    </w:rPr>
  </w:style>
  <w:style w:type="character" w:customStyle="1" w:styleId="5Char">
    <w:name w:val="标题 5 Char"/>
    <w:basedOn w:val="a0"/>
    <w:link w:val="5"/>
    <w:uiPriority w:val="9"/>
    <w:semiHidden/>
    <w:rsid w:val="00887837"/>
    <w:rPr>
      <w:rFonts w:ascii="Calibri" w:eastAsia="宋体" w:hAnsi="Calibri" w:cs="Times New Roman"/>
      <w:b/>
      <w:bCs/>
      <w:i/>
      <w:iCs/>
      <w:kern w:val="0"/>
      <w:sz w:val="26"/>
      <w:szCs w:val="26"/>
    </w:rPr>
  </w:style>
  <w:style w:type="character" w:styleId="a5">
    <w:name w:val="page number"/>
    <w:basedOn w:val="a0"/>
    <w:rsid w:val="00887837"/>
  </w:style>
  <w:style w:type="paragraph" w:styleId="a6">
    <w:name w:val="Document Map"/>
    <w:basedOn w:val="a"/>
    <w:link w:val="Char1"/>
    <w:semiHidden/>
    <w:rsid w:val="00887837"/>
    <w:pPr>
      <w:shd w:val="clear" w:color="auto" w:fill="000080"/>
    </w:pPr>
  </w:style>
  <w:style w:type="character" w:customStyle="1" w:styleId="Char1">
    <w:name w:val="文档结构图 Char"/>
    <w:basedOn w:val="a0"/>
    <w:link w:val="a6"/>
    <w:semiHidden/>
    <w:rsid w:val="00887837"/>
    <w:rPr>
      <w:rFonts w:ascii="Times New Roman" w:eastAsia="宋体" w:hAnsi="Times New Roman" w:cs="Times New Roman"/>
      <w:szCs w:val="24"/>
      <w:shd w:val="clear" w:color="auto" w:fill="000080"/>
    </w:rPr>
  </w:style>
  <w:style w:type="character" w:styleId="a7">
    <w:name w:val="Hyperlink"/>
    <w:rsid w:val="00887837"/>
    <w:rPr>
      <w:color w:val="0000FF"/>
      <w:u w:val="single"/>
    </w:rPr>
  </w:style>
  <w:style w:type="character" w:customStyle="1" w:styleId="Char2">
    <w:name w:val="批注文字 Char"/>
    <w:link w:val="a8"/>
    <w:uiPriority w:val="99"/>
    <w:rsid w:val="00887837"/>
    <w:rPr>
      <w:szCs w:val="24"/>
    </w:rPr>
  </w:style>
  <w:style w:type="paragraph" w:styleId="a8">
    <w:name w:val="annotation text"/>
    <w:basedOn w:val="a"/>
    <w:link w:val="Char2"/>
    <w:uiPriority w:val="99"/>
    <w:unhideWhenUsed/>
    <w:rsid w:val="00887837"/>
    <w:pPr>
      <w:jc w:val="left"/>
    </w:pPr>
    <w:rPr>
      <w:rFonts w:asciiTheme="minorHAnsi" w:eastAsiaTheme="minorEastAsia" w:hAnsiTheme="minorHAnsi" w:cstheme="minorBidi"/>
    </w:rPr>
  </w:style>
  <w:style w:type="character" w:customStyle="1" w:styleId="Char10">
    <w:name w:val="批注文字 Char1"/>
    <w:basedOn w:val="a0"/>
    <w:rsid w:val="00887837"/>
    <w:rPr>
      <w:rFonts w:ascii="Times New Roman" w:eastAsia="宋体" w:hAnsi="Times New Roman" w:cs="Times New Roman"/>
      <w:szCs w:val="24"/>
    </w:rPr>
  </w:style>
  <w:style w:type="character" w:customStyle="1" w:styleId="Char3">
    <w:name w:val="标题 Char"/>
    <w:link w:val="a9"/>
    <w:uiPriority w:val="10"/>
    <w:rsid w:val="00887837"/>
    <w:rPr>
      <w:rFonts w:ascii="Cambria" w:hAnsi="Cambria"/>
      <w:b/>
      <w:bCs/>
      <w:kern w:val="28"/>
      <w:sz w:val="32"/>
      <w:szCs w:val="32"/>
    </w:rPr>
  </w:style>
  <w:style w:type="paragraph" w:styleId="a9">
    <w:name w:val="Title"/>
    <w:basedOn w:val="a"/>
    <w:next w:val="a"/>
    <w:link w:val="Char3"/>
    <w:uiPriority w:val="10"/>
    <w:qFormat/>
    <w:rsid w:val="00887837"/>
    <w:pPr>
      <w:widowControl/>
      <w:spacing w:before="240" w:after="60"/>
      <w:jc w:val="center"/>
      <w:outlineLvl w:val="0"/>
    </w:pPr>
    <w:rPr>
      <w:rFonts w:ascii="Cambria" w:eastAsiaTheme="minorEastAsia" w:hAnsi="Cambria" w:cstheme="minorBidi"/>
      <w:b/>
      <w:bCs/>
      <w:kern w:val="28"/>
      <w:sz w:val="32"/>
      <w:szCs w:val="32"/>
    </w:rPr>
  </w:style>
  <w:style w:type="character" w:customStyle="1" w:styleId="Char11">
    <w:name w:val="标题 Char1"/>
    <w:basedOn w:val="a0"/>
    <w:rsid w:val="00887837"/>
    <w:rPr>
      <w:rFonts w:asciiTheme="majorHAnsi" w:eastAsia="宋体" w:hAnsiTheme="majorHAnsi" w:cstheme="majorBidi"/>
      <w:b/>
      <w:bCs/>
      <w:sz w:val="32"/>
      <w:szCs w:val="32"/>
    </w:rPr>
  </w:style>
  <w:style w:type="character" w:customStyle="1" w:styleId="Char4">
    <w:name w:val="日期 Char"/>
    <w:link w:val="aa"/>
    <w:uiPriority w:val="99"/>
    <w:rsid w:val="00887837"/>
    <w:rPr>
      <w:szCs w:val="24"/>
    </w:rPr>
  </w:style>
  <w:style w:type="paragraph" w:styleId="aa">
    <w:name w:val="Date"/>
    <w:basedOn w:val="a"/>
    <w:next w:val="a"/>
    <w:link w:val="Char4"/>
    <w:uiPriority w:val="99"/>
    <w:unhideWhenUsed/>
    <w:rsid w:val="00887837"/>
    <w:pPr>
      <w:ind w:leftChars="2500" w:left="100"/>
    </w:pPr>
    <w:rPr>
      <w:rFonts w:asciiTheme="minorHAnsi" w:eastAsiaTheme="minorEastAsia" w:hAnsiTheme="minorHAnsi" w:cstheme="minorBidi"/>
    </w:rPr>
  </w:style>
  <w:style w:type="character" w:customStyle="1" w:styleId="Char12">
    <w:name w:val="日期 Char1"/>
    <w:basedOn w:val="a0"/>
    <w:rsid w:val="00887837"/>
    <w:rPr>
      <w:rFonts w:ascii="Times New Roman" w:eastAsia="宋体" w:hAnsi="Times New Roman" w:cs="Times New Roman"/>
      <w:szCs w:val="24"/>
    </w:rPr>
  </w:style>
  <w:style w:type="character" w:customStyle="1" w:styleId="Char5">
    <w:name w:val="批注主题 Char"/>
    <w:link w:val="ab"/>
    <w:uiPriority w:val="99"/>
    <w:rsid w:val="00887837"/>
    <w:rPr>
      <w:b/>
      <w:bCs/>
      <w:szCs w:val="24"/>
    </w:rPr>
  </w:style>
  <w:style w:type="paragraph" w:styleId="ab">
    <w:name w:val="annotation subject"/>
    <w:basedOn w:val="a8"/>
    <w:next w:val="a8"/>
    <w:link w:val="Char5"/>
    <w:uiPriority w:val="99"/>
    <w:unhideWhenUsed/>
    <w:rsid w:val="00887837"/>
    <w:rPr>
      <w:b/>
      <w:bCs/>
    </w:rPr>
  </w:style>
  <w:style w:type="character" w:customStyle="1" w:styleId="Char13">
    <w:name w:val="批注主题 Char1"/>
    <w:basedOn w:val="Char10"/>
    <w:rsid w:val="00887837"/>
    <w:rPr>
      <w:rFonts w:ascii="Times New Roman" w:eastAsia="宋体" w:hAnsi="Times New Roman" w:cs="Times New Roman"/>
      <w:b/>
      <w:bCs/>
      <w:szCs w:val="24"/>
    </w:rPr>
  </w:style>
  <w:style w:type="character" w:customStyle="1" w:styleId="Char6">
    <w:name w:val="批注框文本 Char"/>
    <w:link w:val="ac"/>
    <w:uiPriority w:val="99"/>
    <w:rsid w:val="00887837"/>
    <w:rPr>
      <w:sz w:val="18"/>
      <w:szCs w:val="18"/>
    </w:rPr>
  </w:style>
  <w:style w:type="paragraph" w:styleId="ac">
    <w:name w:val="Balloon Text"/>
    <w:basedOn w:val="a"/>
    <w:link w:val="Char6"/>
    <w:uiPriority w:val="99"/>
    <w:unhideWhenUsed/>
    <w:rsid w:val="00887837"/>
    <w:rPr>
      <w:rFonts w:asciiTheme="minorHAnsi" w:eastAsiaTheme="minorEastAsia" w:hAnsiTheme="minorHAnsi" w:cstheme="minorBidi"/>
      <w:sz w:val="18"/>
      <w:szCs w:val="18"/>
    </w:rPr>
  </w:style>
  <w:style w:type="character" w:customStyle="1" w:styleId="Char14">
    <w:name w:val="批注框文本 Char1"/>
    <w:basedOn w:val="a0"/>
    <w:rsid w:val="0088783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837"/>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887837"/>
    <w:pPr>
      <w:keepNext/>
      <w:keepLines/>
      <w:widowControl/>
      <w:spacing w:before="340" w:after="330" w:line="576" w:lineRule="auto"/>
      <w:jc w:val="left"/>
      <w:outlineLvl w:val="0"/>
    </w:pPr>
    <w:rPr>
      <w:rFonts w:ascii="Calibri" w:hAnsi="Calibri"/>
      <w:b/>
      <w:bCs/>
      <w:kern w:val="44"/>
      <w:sz w:val="44"/>
      <w:szCs w:val="44"/>
    </w:rPr>
  </w:style>
  <w:style w:type="paragraph" w:styleId="2">
    <w:name w:val="heading 2"/>
    <w:basedOn w:val="a"/>
    <w:next w:val="a"/>
    <w:link w:val="2Char"/>
    <w:uiPriority w:val="9"/>
    <w:semiHidden/>
    <w:unhideWhenUsed/>
    <w:qFormat/>
    <w:rsid w:val="00887837"/>
    <w:pPr>
      <w:keepNext/>
      <w:widowControl/>
      <w:spacing w:before="240" w:after="60"/>
      <w:jc w:val="left"/>
      <w:outlineLvl w:val="1"/>
    </w:pPr>
    <w:rPr>
      <w:rFonts w:ascii="Cambria" w:hAnsi="Cambria"/>
      <w:b/>
      <w:bCs/>
      <w:i/>
      <w:iCs/>
      <w:kern w:val="0"/>
      <w:sz w:val="28"/>
      <w:szCs w:val="28"/>
    </w:rPr>
  </w:style>
  <w:style w:type="paragraph" w:styleId="3">
    <w:name w:val="heading 3"/>
    <w:basedOn w:val="a"/>
    <w:next w:val="a"/>
    <w:link w:val="3Char"/>
    <w:uiPriority w:val="9"/>
    <w:semiHidden/>
    <w:unhideWhenUsed/>
    <w:qFormat/>
    <w:rsid w:val="00887837"/>
    <w:pPr>
      <w:keepNext/>
      <w:widowControl/>
      <w:spacing w:before="240" w:after="60"/>
      <w:jc w:val="left"/>
      <w:outlineLvl w:val="2"/>
    </w:pPr>
    <w:rPr>
      <w:rFonts w:ascii="Cambria" w:hAnsi="Cambria"/>
      <w:b/>
      <w:bCs/>
      <w:kern w:val="0"/>
      <w:sz w:val="26"/>
      <w:szCs w:val="26"/>
    </w:rPr>
  </w:style>
  <w:style w:type="paragraph" w:styleId="4">
    <w:name w:val="heading 4"/>
    <w:basedOn w:val="a"/>
    <w:next w:val="a"/>
    <w:link w:val="4Char"/>
    <w:uiPriority w:val="9"/>
    <w:semiHidden/>
    <w:unhideWhenUsed/>
    <w:qFormat/>
    <w:rsid w:val="00887837"/>
    <w:pPr>
      <w:keepNext/>
      <w:widowControl/>
      <w:spacing w:before="240" w:after="60"/>
      <w:jc w:val="left"/>
      <w:outlineLvl w:val="3"/>
    </w:pPr>
    <w:rPr>
      <w:rFonts w:ascii="Calibri" w:hAnsi="Calibri"/>
      <w:b/>
      <w:bCs/>
      <w:kern w:val="0"/>
      <w:sz w:val="28"/>
      <w:szCs w:val="28"/>
    </w:rPr>
  </w:style>
  <w:style w:type="paragraph" w:styleId="5">
    <w:name w:val="heading 5"/>
    <w:basedOn w:val="a"/>
    <w:next w:val="a"/>
    <w:link w:val="5Char"/>
    <w:uiPriority w:val="9"/>
    <w:semiHidden/>
    <w:unhideWhenUsed/>
    <w:qFormat/>
    <w:rsid w:val="00887837"/>
    <w:pPr>
      <w:widowControl/>
      <w:spacing w:before="240" w:after="60"/>
      <w:jc w:val="left"/>
      <w:outlineLvl w:val="4"/>
    </w:pPr>
    <w:rPr>
      <w:rFonts w:ascii="Calibri" w:hAnsi="Calibri"/>
      <w:b/>
      <w:bCs/>
      <w:i/>
      <w:iCs/>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783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87837"/>
    <w:rPr>
      <w:sz w:val="18"/>
      <w:szCs w:val="18"/>
    </w:rPr>
  </w:style>
  <w:style w:type="paragraph" w:styleId="a4">
    <w:name w:val="footer"/>
    <w:basedOn w:val="a"/>
    <w:link w:val="Char0"/>
    <w:uiPriority w:val="99"/>
    <w:unhideWhenUsed/>
    <w:rsid w:val="0088783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87837"/>
    <w:rPr>
      <w:sz w:val="18"/>
      <w:szCs w:val="18"/>
    </w:rPr>
  </w:style>
  <w:style w:type="character" w:customStyle="1" w:styleId="1Char">
    <w:name w:val="标题 1 Char"/>
    <w:basedOn w:val="a0"/>
    <w:link w:val="1"/>
    <w:uiPriority w:val="9"/>
    <w:rsid w:val="00887837"/>
    <w:rPr>
      <w:rFonts w:ascii="Calibri" w:eastAsia="宋体" w:hAnsi="Calibri" w:cs="Times New Roman"/>
      <w:b/>
      <w:bCs/>
      <w:kern w:val="44"/>
      <w:sz w:val="44"/>
      <w:szCs w:val="44"/>
    </w:rPr>
  </w:style>
  <w:style w:type="character" w:customStyle="1" w:styleId="2Char">
    <w:name w:val="标题 2 Char"/>
    <w:basedOn w:val="a0"/>
    <w:link w:val="2"/>
    <w:uiPriority w:val="9"/>
    <w:semiHidden/>
    <w:rsid w:val="00887837"/>
    <w:rPr>
      <w:rFonts w:ascii="Cambria" w:eastAsia="宋体" w:hAnsi="Cambria" w:cs="Times New Roman"/>
      <w:b/>
      <w:bCs/>
      <w:i/>
      <w:iCs/>
      <w:kern w:val="0"/>
      <w:sz w:val="28"/>
      <w:szCs w:val="28"/>
    </w:rPr>
  </w:style>
  <w:style w:type="character" w:customStyle="1" w:styleId="3Char">
    <w:name w:val="标题 3 Char"/>
    <w:basedOn w:val="a0"/>
    <w:link w:val="3"/>
    <w:uiPriority w:val="9"/>
    <w:semiHidden/>
    <w:rsid w:val="00887837"/>
    <w:rPr>
      <w:rFonts w:ascii="Cambria" w:eastAsia="宋体" w:hAnsi="Cambria" w:cs="Times New Roman"/>
      <w:b/>
      <w:bCs/>
      <w:kern w:val="0"/>
      <w:sz w:val="26"/>
      <w:szCs w:val="26"/>
    </w:rPr>
  </w:style>
  <w:style w:type="character" w:customStyle="1" w:styleId="4Char">
    <w:name w:val="标题 4 Char"/>
    <w:basedOn w:val="a0"/>
    <w:link w:val="4"/>
    <w:uiPriority w:val="9"/>
    <w:semiHidden/>
    <w:rsid w:val="00887837"/>
    <w:rPr>
      <w:rFonts w:ascii="Calibri" w:eastAsia="宋体" w:hAnsi="Calibri" w:cs="Times New Roman"/>
      <w:b/>
      <w:bCs/>
      <w:kern w:val="0"/>
      <w:sz w:val="28"/>
      <w:szCs w:val="28"/>
    </w:rPr>
  </w:style>
  <w:style w:type="character" w:customStyle="1" w:styleId="5Char">
    <w:name w:val="标题 5 Char"/>
    <w:basedOn w:val="a0"/>
    <w:link w:val="5"/>
    <w:uiPriority w:val="9"/>
    <w:semiHidden/>
    <w:rsid w:val="00887837"/>
    <w:rPr>
      <w:rFonts w:ascii="Calibri" w:eastAsia="宋体" w:hAnsi="Calibri" w:cs="Times New Roman"/>
      <w:b/>
      <w:bCs/>
      <w:i/>
      <w:iCs/>
      <w:kern w:val="0"/>
      <w:sz w:val="26"/>
      <w:szCs w:val="26"/>
    </w:rPr>
  </w:style>
  <w:style w:type="character" w:styleId="a5">
    <w:name w:val="page number"/>
    <w:basedOn w:val="a0"/>
    <w:rsid w:val="00887837"/>
  </w:style>
  <w:style w:type="paragraph" w:styleId="a6">
    <w:name w:val="Document Map"/>
    <w:basedOn w:val="a"/>
    <w:link w:val="Char1"/>
    <w:semiHidden/>
    <w:rsid w:val="00887837"/>
    <w:pPr>
      <w:shd w:val="clear" w:color="auto" w:fill="000080"/>
    </w:pPr>
  </w:style>
  <w:style w:type="character" w:customStyle="1" w:styleId="Char1">
    <w:name w:val="文档结构图 Char"/>
    <w:basedOn w:val="a0"/>
    <w:link w:val="a6"/>
    <w:semiHidden/>
    <w:rsid w:val="00887837"/>
    <w:rPr>
      <w:rFonts w:ascii="Times New Roman" w:eastAsia="宋体" w:hAnsi="Times New Roman" w:cs="Times New Roman"/>
      <w:szCs w:val="24"/>
      <w:shd w:val="clear" w:color="auto" w:fill="000080"/>
    </w:rPr>
  </w:style>
  <w:style w:type="character" w:styleId="a7">
    <w:name w:val="Hyperlink"/>
    <w:rsid w:val="00887837"/>
    <w:rPr>
      <w:color w:val="0000FF"/>
      <w:u w:val="single"/>
    </w:rPr>
  </w:style>
  <w:style w:type="character" w:customStyle="1" w:styleId="Char2">
    <w:name w:val="批注文字 Char"/>
    <w:link w:val="a8"/>
    <w:uiPriority w:val="99"/>
    <w:rsid w:val="00887837"/>
    <w:rPr>
      <w:szCs w:val="24"/>
    </w:rPr>
  </w:style>
  <w:style w:type="paragraph" w:styleId="a8">
    <w:name w:val="annotation text"/>
    <w:basedOn w:val="a"/>
    <w:link w:val="Char2"/>
    <w:uiPriority w:val="99"/>
    <w:unhideWhenUsed/>
    <w:rsid w:val="00887837"/>
    <w:pPr>
      <w:jc w:val="left"/>
    </w:pPr>
    <w:rPr>
      <w:rFonts w:asciiTheme="minorHAnsi" w:eastAsiaTheme="minorEastAsia" w:hAnsiTheme="minorHAnsi" w:cstheme="minorBidi"/>
    </w:rPr>
  </w:style>
  <w:style w:type="character" w:customStyle="1" w:styleId="Char10">
    <w:name w:val="批注文字 Char1"/>
    <w:basedOn w:val="a0"/>
    <w:rsid w:val="00887837"/>
    <w:rPr>
      <w:rFonts w:ascii="Times New Roman" w:eastAsia="宋体" w:hAnsi="Times New Roman" w:cs="Times New Roman"/>
      <w:szCs w:val="24"/>
    </w:rPr>
  </w:style>
  <w:style w:type="character" w:customStyle="1" w:styleId="Char3">
    <w:name w:val="标题 Char"/>
    <w:link w:val="a9"/>
    <w:uiPriority w:val="10"/>
    <w:rsid w:val="00887837"/>
    <w:rPr>
      <w:rFonts w:ascii="Cambria" w:hAnsi="Cambria"/>
      <w:b/>
      <w:bCs/>
      <w:kern w:val="28"/>
      <w:sz w:val="32"/>
      <w:szCs w:val="32"/>
    </w:rPr>
  </w:style>
  <w:style w:type="paragraph" w:styleId="a9">
    <w:name w:val="Title"/>
    <w:basedOn w:val="a"/>
    <w:next w:val="a"/>
    <w:link w:val="Char3"/>
    <w:uiPriority w:val="10"/>
    <w:qFormat/>
    <w:rsid w:val="00887837"/>
    <w:pPr>
      <w:widowControl/>
      <w:spacing w:before="240" w:after="60"/>
      <w:jc w:val="center"/>
      <w:outlineLvl w:val="0"/>
    </w:pPr>
    <w:rPr>
      <w:rFonts w:ascii="Cambria" w:eastAsiaTheme="minorEastAsia" w:hAnsi="Cambria" w:cstheme="minorBidi"/>
      <w:b/>
      <w:bCs/>
      <w:kern w:val="28"/>
      <w:sz w:val="32"/>
      <w:szCs w:val="32"/>
    </w:rPr>
  </w:style>
  <w:style w:type="character" w:customStyle="1" w:styleId="Char11">
    <w:name w:val="标题 Char1"/>
    <w:basedOn w:val="a0"/>
    <w:rsid w:val="00887837"/>
    <w:rPr>
      <w:rFonts w:asciiTheme="majorHAnsi" w:eastAsia="宋体" w:hAnsiTheme="majorHAnsi" w:cstheme="majorBidi"/>
      <w:b/>
      <w:bCs/>
      <w:sz w:val="32"/>
      <w:szCs w:val="32"/>
    </w:rPr>
  </w:style>
  <w:style w:type="character" w:customStyle="1" w:styleId="Char4">
    <w:name w:val="日期 Char"/>
    <w:link w:val="aa"/>
    <w:uiPriority w:val="99"/>
    <w:rsid w:val="00887837"/>
    <w:rPr>
      <w:szCs w:val="24"/>
    </w:rPr>
  </w:style>
  <w:style w:type="paragraph" w:styleId="aa">
    <w:name w:val="Date"/>
    <w:basedOn w:val="a"/>
    <w:next w:val="a"/>
    <w:link w:val="Char4"/>
    <w:uiPriority w:val="99"/>
    <w:unhideWhenUsed/>
    <w:rsid w:val="00887837"/>
    <w:pPr>
      <w:ind w:leftChars="2500" w:left="100"/>
    </w:pPr>
    <w:rPr>
      <w:rFonts w:asciiTheme="minorHAnsi" w:eastAsiaTheme="minorEastAsia" w:hAnsiTheme="minorHAnsi" w:cstheme="minorBidi"/>
    </w:rPr>
  </w:style>
  <w:style w:type="character" w:customStyle="1" w:styleId="Char12">
    <w:name w:val="日期 Char1"/>
    <w:basedOn w:val="a0"/>
    <w:rsid w:val="00887837"/>
    <w:rPr>
      <w:rFonts w:ascii="Times New Roman" w:eastAsia="宋体" w:hAnsi="Times New Roman" w:cs="Times New Roman"/>
      <w:szCs w:val="24"/>
    </w:rPr>
  </w:style>
  <w:style w:type="character" w:customStyle="1" w:styleId="Char5">
    <w:name w:val="批注主题 Char"/>
    <w:link w:val="ab"/>
    <w:uiPriority w:val="99"/>
    <w:rsid w:val="00887837"/>
    <w:rPr>
      <w:b/>
      <w:bCs/>
      <w:szCs w:val="24"/>
    </w:rPr>
  </w:style>
  <w:style w:type="paragraph" w:styleId="ab">
    <w:name w:val="annotation subject"/>
    <w:basedOn w:val="a8"/>
    <w:next w:val="a8"/>
    <w:link w:val="Char5"/>
    <w:uiPriority w:val="99"/>
    <w:unhideWhenUsed/>
    <w:rsid w:val="00887837"/>
    <w:rPr>
      <w:b/>
      <w:bCs/>
    </w:rPr>
  </w:style>
  <w:style w:type="character" w:customStyle="1" w:styleId="Char13">
    <w:name w:val="批注主题 Char1"/>
    <w:basedOn w:val="Char10"/>
    <w:rsid w:val="00887837"/>
    <w:rPr>
      <w:rFonts w:ascii="Times New Roman" w:eastAsia="宋体" w:hAnsi="Times New Roman" w:cs="Times New Roman"/>
      <w:b/>
      <w:bCs/>
      <w:szCs w:val="24"/>
    </w:rPr>
  </w:style>
  <w:style w:type="character" w:customStyle="1" w:styleId="Char6">
    <w:name w:val="批注框文本 Char"/>
    <w:link w:val="ac"/>
    <w:uiPriority w:val="99"/>
    <w:rsid w:val="00887837"/>
    <w:rPr>
      <w:sz w:val="18"/>
      <w:szCs w:val="18"/>
    </w:rPr>
  </w:style>
  <w:style w:type="paragraph" w:styleId="ac">
    <w:name w:val="Balloon Text"/>
    <w:basedOn w:val="a"/>
    <w:link w:val="Char6"/>
    <w:uiPriority w:val="99"/>
    <w:unhideWhenUsed/>
    <w:rsid w:val="00887837"/>
    <w:rPr>
      <w:rFonts w:asciiTheme="minorHAnsi" w:eastAsiaTheme="minorEastAsia" w:hAnsiTheme="minorHAnsi" w:cstheme="minorBidi"/>
      <w:sz w:val="18"/>
      <w:szCs w:val="18"/>
    </w:rPr>
  </w:style>
  <w:style w:type="character" w:customStyle="1" w:styleId="Char14">
    <w:name w:val="批注框文本 Char1"/>
    <w:basedOn w:val="a0"/>
    <w:rsid w:val="0088783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430</Words>
  <Characters>2453</Characters>
  <Application>Microsoft Office Word</Application>
  <DocSecurity>0</DocSecurity>
  <Lines>20</Lines>
  <Paragraphs>5</Paragraphs>
  <ScaleCrop>false</ScaleCrop>
  <Company>CFDA</Company>
  <LinksUpToDate>false</LinksUpToDate>
  <CharactersWithSpaces>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果靓</dc:creator>
  <cp:lastModifiedBy>USER</cp:lastModifiedBy>
  <cp:revision>2</cp:revision>
  <dcterms:created xsi:type="dcterms:W3CDTF">2017-10-09T09:51:00Z</dcterms:created>
  <dcterms:modified xsi:type="dcterms:W3CDTF">2017-10-09T09:51:00Z</dcterms:modified>
</cp:coreProperties>
</file>