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after="312" w:afterLines="100" w:line="480" w:lineRule="auto"/>
        <w:ind w:left="-708" w:leftChars="-337" w:right="-1050" w:rightChars="-500"/>
        <w:jc w:val="center"/>
        <w:rPr>
          <w:rFonts w:ascii="黑体" w:hAnsi="黑体" w:eastAsia="黑体"/>
          <w:b/>
          <w:sz w:val="44"/>
          <w:szCs w:val="44"/>
        </w:rPr>
      </w:pPr>
      <w:r>
        <w:rPr>
          <w:rFonts w:hint="eastAsia" w:ascii="黑体" w:hAnsi="黑体" w:eastAsia="黑体"/>
          <w:b/>
          <w:sz w:val="44"/>
          <w:szCs w:val="44"/>
        </w:rPr>
        <w:t>浙江省“智慧医保”软件开发服务项目</w:t>
      </w:r>
    </w:p>
    <w:p>
      <w:pPr>
        <w:spacing w:after="624" w:afterLines="200" w:line="720" w:lineRule="auto"/>
        <w:ind w:left="-708" w:leftChars="-337" w:right="-1050" w:rightChars="-500"/>
        <w:jc w:val="center"/>
        <w:rPr>
          <w:rFonts w:ascii="黑体" w:hAnsi="黑体" w:eastAsia="黑体"/>
          <w:b/>
          <w:sz w:val="48"/>
          <w:szCs w:val="48"/>
        </w:rPr>
      </w:pPr>
      <w:r>
        <w:rPr>
          <w:rFonts w:hint="eastAsia" w:ascii="黑体" w:hAnsi="黑体" w:eastAsia="黑体"/>
          <w:b/>
          <w:sz w:val="48"/>
          <w:szCs w:val="48"/>
        </w:rPr>
        <w:t>药品与医用耗材招采管理子系统</w:t>
      </w: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用户操作手册</w:t>
      </w:r>
    </w:p>
    <w:p>
      <w:pPr>
        <w:spacing w:after="3432" w:afterLines="1100"/>
        <w:jc w:val="center"/>
        <w:rPr>
          <w:rFonts w:ascii="黑体" w:hAnsi="黑体" w:eastAsia="黑体" w:cstheme="minorBidi"/>
          <w:sz w:val="32"/>
          <w:szCs w:val="32"/>
        </w:rPr>
      </w:pPr>
      <w:r>
        <w:rPr>
          <w:rFonts w:hint="eastAsia" w:ascii="黑体" w:hAnsi="黑体" w:eastAsia="黑体" w:cstheme="minorBidi"/>
          <w:sz w:val="32"/>
          <w:szCs w:val="32"/>
        </w:rPr>
        <w:t>(V</w:t>
      </w:r>
      <w:r>
        <w:rPr>
          <w:rFonts w:hint="eastAsia" w:ascii="黑体" w:hAnsi="黑体" w:eastAsia="黑体" w:cstheme="minorBidi"/>
          <w:sz w:val="32"/>
          <w:szCs w:val="32"/>
          <w:lang w:val="en-US" w:eastAsia="zh-CN"/>
        </w:rPr>
        <w:t>2</w:t>
      </w:r>
      <w:r>
        <w:rPr>
          <w:rFonts w:hint="eastAsia" w:ascii="黑体" w:hAnsi="黑体" w:eastAsia="黑体" w:cstheme="minorBidi"/>
          <w:sz w:val="32"/>
          <w:szCs w:val="32"/>
        </w:rPr>
        <w:t>.</w:t>
      </w:r>
      <w:r>
        <w:rPr>
          <w:rFonts w:hint="eastAsia" w:ascii="黑体" w:hAnsi="黑体" w:eastAsia="黑体" w:cstheme="minorBidi"/>
          <w:sz w:val="32"/>
          <w:szCs w:val="32"/>
          <w:lang w:val="en-US" w:eastAsia="zh-CN"/>
        </w:rPr>
        <w:t>1</w:t>
      </w:r>
      <w:r>
        <w:rPr>
          <w:rFonts w:ascii="黑体" w:hAnsi="黑体" w:eastAsia="黑体" w:cstheme="minorBidi"/>
          <w:sz w:val="32"/>
          <w:szCs w:val="32"/>
        </w:rPr>
        <w:t>)</w:t>
      </w:r>
    </w:p>
    <w:p>
      <w:pPr>
        <w:jc w:val="center"/>
        <w:rPr>
          <w:rFonts w:ascii="楷体" w:hAnsi="楷体" w:eastAsia="楷体"/>
          <w:sz w:val="32"/>
          <w:szCs w:val="32"/>
        </w:rPr>
      </w:pPr>
      <w:r>
        <w:rPr>
          <w:rFonts w:hint="eastAsia" w:ascii="楷体" w:hAnsi="楷体" w:eastAsia="楷体"/>
          <w:sz w:val="32"/>
          <w:szCs w:val="32"/>
        </w:rPr>
        <w:t>浙江省医疗保障局</w:t>
      </w:r>
    </w:p>
    <w:p>
      <w:pPr>
        <w:jc w:val="center"/>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02</w:t>
      </w:r>
      <w:r>
        <w:rPr>
          <w:rFonts w:hint="eastAsia" w:ascii="楷体" w:hAnsi="楷体" w:eastAsia="楷体"/>
          <w:sz w:val="32"/>
          <w:szCs w:val="32"/>
          <w:lang w:val="en-US" w:eastAsia="zh-CN"/>
        </w:rPr>
        <w:t>4</w:t>
      </w:r>
      <w:r>
        <w:rPr>
          <w:rFonts w:hint="eastAsia" w:ascii="楷体" w:hAnsi="楷体" w:eastAsia="楷体"/>
          <w:sz w:val="32"/>
          <w:szCs w:val="32"/>
        </w:rPr>
        <w:t>年</w:t>
      </w:r>
      <w:r>
        <w:rPr>
          <w:rFonts w:hint="eastAsia" w:ascii="楷体" w:hAnsi="楷体" w:eastAsia="楷体"/>
          <w:sz w:val="32"/>
          <w:szCs w:val="32"/>
          <w:lang w:val="en-US" w:eastAsia="zh-CN"/>
        </w:rPr>
        <w:t>11</w:t>
      </w:r>
      <w:r>
        <w:rPr>
          <w:rFonts w:hint="eastAsia" w:ascii="楷体" w:hAnsi="楷体" w:eastAsia="楷体"/>
          <w:sz w:val="32"/>
          <w:szCs w:val="32"/>
        </w:rPr>
        <w:t>月</w:t>
      </w:r>
    </w:p>
    <w:p>
      <w:pPr>
        <w:rPr>
          <w:b/>
          <w:sz w:val="32"/>
          <w:szCs w:val="32"/>
        </w:rPr>
        <w:sectPr>
          <w:pgSz w:w="11906" w:h="16838"/>
          <w:pgMar w:top="1440" w:right="1800" w:bottom="1440" w:left="1800" w:header="851" w:footer="992" w:gutter="0"/>
          <w:cols w:space="425" w:num="1"/>
          <w:docGrid w:type="lines" w:linePitch="312" w:charSpace="0"/>
        </w:sectPr>
      </w:pPr>
    </w:p>
    <w:p>
      <w:pPr>
        <w:jc w:val="center"/>
        <w:rPr>
          <w:rFonts w:ascii="Calibri" w:hAnsi="Calibri" w:cs="Times New Roman"/>
          <w:b/>
          <w:bCs/>
          <w:sz w:val="32"/>
          <w:szCs w:val="32"/>
        </w:rPr>
      </w:pPr>
      <w:r>
        <w:rPr>
          <w:rFonts w:hint="eastAsia"/>
          <w:b/>
          <w:bCs/>
          <w:sz w:val="32"/>
          <w:szCs w:val="32"/>
        </w:rPr>
        <w:t>修订记录</w:t>
      </w:r>
    </w:p>
    <w:tbl>
      <w:tblPr>
        <w:tblStyle w:val="20"/>
        <w:tblW w:w="52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037"/>
        <w:gridCol w:w="2203"/>
        <w:gridCol w:w="2193"/>
        <w:gridCol w:w="128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56"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cs="Times New Roman"/>
                <w:b/>
                <w:bCs/>
                <w:szCs w:val="21"/>
              </w:rPr>
            </w:pPr>
            <w:r>
              <w:rPr>
                <w:rFonts w:hint="eastAsia"/>
                <w:b/>
                <w:bCs/>
              </w:rPr>
              <w:t>编号</w:t>
            </w:r>
          </w:p>
        </w:tc>
        <w:tc>
          <w:tcPr>
            <w:tcW w:w="1037"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版本号</w:t>
            </w:r>
          </w:p>
        </w:tc>
        <w:tc>
          <w:tcPr>
            <w:tcW w:w="2203"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修订时间</w:t>
            </w:r>
          </w:p>
        </w:tc>
        <w:tc>
          <w:tcPr>
            <w:tcW w:w="2193"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修订内容</w:t>
            </w:r>
          </w:p>
        </w:tc>
        <w:tc>
          <w:tcPr>
            <w:tcW w:w="1289"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修订人</w:t>
            </w:r>
          </w:p>
        </w:tc>
        <w:tc>
          <w:tcPr>
            <w:tcW w:w="1287" w:type="dxa"/>
            <w:tcBorders>
              <w:top w:val="single" w:color="auto" w:sz="4" w:space="0"/>
              <w:left w:val="nil"/>
              <w:bottom w:val="single" w:color="auto" w:sz="4" w:space="0"/>
              <w:right w:val="single" w:color="auto" w:sz="4" w:space="0"/>
            </w:tcBorders>
            <w:shd w:val="clear" w:color="auto" w:fill="E6E6E6"/>
            <w:vAlign w:val="center"/>
          </w:tcPr>
          <w:p>
            <w:pPr>
              <w:jc w:val="center"/>
              <w:rPr>
                <w:b/>
                <w:bCs/>
              </w:rPr>
            </w:pPr>
            <w:r>
              <w:rPr>
                <w:rFonts w:hint="eastAsia"/>
                <w:b/>
                <w:bCs/>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037" w:type="dxa"/>
            <w:tcBorders>
              <w:top w:val="single" w:color="auto" w:sz="4" w:space="0"/>
              <w:left w:val="nil"/>
              <w:bottom w:val="single" w:color="auto" w:sz="4" w:space="0"/>
              <w:right w:val="single" w:color="auto" w:sz="4" w:space="0"/>
            </w:tcBorders>
            <w:vAlign w:val="center"/>
          </w:tcPr>
          <w:p>
            <w:pPr>
              <w:jc w:val="center"/>
            </w:pPr>
            <w:r>
              <w:rPr>
                <w:rFonts w:hint="eastAsia"/>
              </w:rPr>
              <w:t>V0.1</w:t>
            </w:r>
          </w:p>
        </w:tc>
        <w:tc>
          <w:tcPr>
            <w:tcW w:w="2203" w:type="dxa"/>
            <w:tcBorders>
              <w:top w:val="single" w:color="auto" w:sz="4" w:space="0"/>
              <w:left w:val="nil"/>
              <w:bottom w:val="single" w:color="auto" w:sz="4" w:space="0"/>
              <w:right w:val="single" w:color="auto" w:sz="4" w:space="0"/>
            </w:tcBorders>
            <w:vAlign w:val="center"/>
          </w:tcPr>
          <w:p>
            <w:pPr>
              <w:jc w:val="center"/>
            </w:pPr>
            <w:r>
              <w:rPr>
                <w:rFonts w:hint="eastAsia"/>
              </w:rPr>
              <w:t>202</w:t>
            </w:r>
            <w:r>
              <w:t>20422</w:t>
            </w:r>
          </w:p>
        </w:tc>
        <w:tc>
          <w:tcPr>
            <w:tcW w:w="2193" w:type="dxa"/>
            <w:tcBorders>
              <w:top w:val="single" w:color="auto" w:sz="4" w:space="0"/>
              <w:left w:val="nil"/>
              <w:bottom w:val="single" w:color="auto" w:sz="4" w:space="0"/>
              <w:right w:val="single" w:color="auto" w:sz="4" w:space="0"/>
            </w:tcBorders>
            <w:vAlign w:val="center"/>
          </w:tcPr>
          <w:p>
            <w:pPr>
              <w:jc w:val="center"/>
            </w:pPr>
            <w:r>
              <w:rPr>
                <w:rFonts w:hint="eastAsia" w:asciiTheme="minorHAnsi" w:hAnsiTheme="minorHAnsi" w:eastAsiaTheme="minorEastAsia" w:cstheme="minorBidi"/>
                <w:szCs w:val="22"/>
              </w:rPr>
              <w:t>编写初稿</w:t>
            </w:r>
          </w:p>
        </w:tc>
        <w:tc>
          <w:tcPr>
            <w:tcW w:w="1289" w:type="dxa"/>
            <w:tcBorders>
              <w:top w:val="single" w:color="auto" w:sz="4" w:space="0"/>
              <w:left w:val="nil"/>
              <w:bottom w:val="single" w:color="auto" w:sz="4" w:space="0"/>
              <w:right w:val="single" w:color="auto" w:sz="4" w:space="0"/>
            </w:tcBorders>
            <w:vAlign w:val="center"/>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周玉霞</w:t>
            </w: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4"/>
                <w:lang w:val="en-US" w:eastAsia="zh-CN" w:bidi="ar-SA"/>
              </w:rPr>
            </w:pPr>
            <w:r>
              <w:rPr>
                <w:rFonts w:hint="eastAsia" w:cs="宋体"/>
                <w:sz w:val="21"/>
                <w:szCs w:val="24"/>
                <w:lang w:val="en-US" w:eastAsia="zh-CN" w:bidi="ar-SA"/>
              </w:rPr>
              <w:t>2</w:t>
            </w:r>
          </w:p>
        </w:tc>
        <w:tc>
          <w:tcPr>
            <w:tcW w:w="103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1"/>
                <w:szCs w:val="24"/>
                <w:lang w:val="en-US" w:eastAsia="zh-CN" w:bidi="ar-SA"/>
              </w:rPr>
            </w:pPr>
            <w:r>
              <w:rPr>
                <w:rFonts w:hint="eastAsia"/>
              </w:rPr>
              <w:t>V</w:t>
            </w:r>
            <w:r>
              <w:rPr>
                <w:rFonts w:hint="eastAsia"/>
                <w:lang w:val="en-US" w:eastAsia="zh-CN"/>
              </w:rPr>
              <w:t>2.0</w:t>
            </w:r>
          </w:p>
        </w:tc>
        <w:tc>
          <w:tcPr>
            <w:tcW w:w="220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1"/>
                <w:szCs w:val="24"/>
                <w:lang w:val="en-US" w:eastAsia="zh-CN" w:bidi="ar-SA"/>
              </w:rPr>
            </w:pPr>
            <w:r>
              <w:rPr>
                <w:rFonts w:hint="eastAsia"/>
              </w:rPr>
              <w:t>202</w:t>
            </w:r>
            <w:r>
              <w:rPr>
                <w:rFonts w:hint="eastAsia"/>
                <w:lang w:val="en-US" w:eastAsia="zh-CN"/>
              </w:rPr>
              <w:t>31129</w:t>
            </w:r>
          </w:p>
        </w:tc>
        <w:tc>
          <w:tcPr>
            <w:tcW w:w="219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4"/>
                <w:lang w:val="en-US" w:eastAsia="zh-CN" w:bidi="ar-SA"/>
              </w:rPr>
            </w:pPr>
            <w:r>
              <w:rPr>
                <w:rFonts w:hint="eastAsia" w:asciiTheme="minorHAnsi" w:hAnsiTheme="minorHAnsi" w:eastAsiaTheme="minorEastAsia" w:cstheme="minorBidi"/>
                <w:szCs w:val="22"/>
                <w:lang w:eastAsia="zh-CN"/>
              </w:rPr>
              <w:t>修订</w:t>
            </w:r>
          </w:p>
        </w:tc>
        <w:tc>
          <w:tcPr>
            <w:tcW w:w="1289" w:type="dxa"/>
            <w:tcBorders>
              <w:top w:val="single" w:color="auto" w:sz="4" w:space="0"/>
              <w:left w:val="nil"/>
              <w:bottom w:val="single" w:color="auto" w:sz="4" w:space="0"/>
              <w:right w:val="single" w:color="auto" w:sz="4" w:space="0"/>
            </w:tcBorders>
            <w:vAlign w:val="center"/>
          </w:tcPr>
          <w:p>
            <w:pPr>
              <w:rPr>
                <w:rFonts w:hint="eastAsia" w:asciiTheme="minorHAnsi" w:hAnsiTheme="minorHAnsi" w:eastAsiaTheme="minorEastAsia" w:cstheme="minorBidi"/>
                <w:sz w:val="21"/>
                <w:szCs w:val="22"/>
                <w:lang w:val="en-US" w:eastAsia="zh-CN" w:bidi="ar-SA"/>
              </w:rPr>
            </w:pPr>
            <w:r>
              <w:rPr>
                <w:rFonts w:hint="eastAsia" w:asciiTheme="minorHAnsi" w:hAnsiTheme="minorHAnsi" w:eastAsiaTheme="minorEastAsia" w:cstheme="minorBidi"/>
                <w:szCs w:val="22"/>
                <w:lang w:eastAsia="zh-CN"/>
              </w:rPr>
              <w:t>陈赟</w:t>
            </w: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4"/>
                <w:lang w:val="en-US" w:eastAsia="zh-CN" w:bidi="ar-SA"/>
              </w:rPr>
            </w:pPr>
            <w:r>
              <w:rPr>
                <w:rFonts w:hint="eastAsia" w:cs="宋体"/>
                <w:sz w:val="21"/>
                <w:szCs w:val="24"/>
                <w:lang w:val="en-US" w:eastAsia="zh-CN" w:bidi="ar-SA"/>
              </w:rPr>
              <w:t>3</w:t>
            </w:r>
          </w:p>
        </w:tc>
        <w:tc>
          <w:tcPr>
            <w:tcW w:w="103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1"/>
                <w:szCs w:val="24"/>
                <w:lang w:val="en-US" w:eastAsia="zh-CN" w:bidi="ar-SA"/>
              </w:rPr>
            </w:pPr>
            <w:r>
              <w:rPr>
                <w:rFonts w:hint="eastAsia"/>
              </w:rPr>
              <w:t>V</w:t>
            </w:r>
            <w:r>
              <w:rPr>
                <w:rFonts w:hint="eastAsia"/>
                <w:lang w:val="en-US" w:eastAsia="zh-CN"/>
              </w:rPr>
              <w:t>2.1</w:t>
            </w:r>
          </w:p>
        </w:tc>
        <w:tc>
          <w:tcPr>
            <w:tcW w:w="220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1"/>
                <w:szCs w:val="24"/>
                <w:lang w:val="en-US" w:eastAsia="zh-CN" w:bidi="ar-SA"/>
              </w:rPr>
            </w:pPr>
            <w:r>
              <w:rPr>
                <w:rFonts w:hint="eastAsia"/>
              </w:rPr>
              <w:t>202</w:t>
            </w:r>
            <w:r>
              <w:rPr>
                <w:rFonts w:hint="eastAsia"/>
                <w:lang w:val="en-US" w:eastAsia="zh-CN"/>
              </w:rPr>
              <w:t>31106</w:t>
            </w:r>
          </w:p>
        </w:tc>
        <w:tc>
          <w:tcPr>
            <w:tcW w:w="219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4"/>
                <w:lang w:val="en-US" w:eastAsia="zh-CN" w:bidi="ar-SA"/>
              </w:rPr>
            </w:pPr>
            <w:r>
              <w:rPr>
                <w:rFonts w:hint="eastAsia" w:asciiTheme="minorHAnsi" w:hAnsiTheme="minorHAnsi" w:eastAsiaTheme="minorEastAsia" w:cstheme="minorBidi"/>
                <w:szCs w:val="22"/>
                <w:lang w:eastAsia="zh-CN"/>
              </w:rPr>
              <w:t>修订</w:t>
            </w:r>
          </w:p>
        </w:tc>
        <w:tc>
          <w:tcPr>
            <w:tcW w:w="1289" w:type="dxa"/>
            <w:tcBorders>
              <w:top w:val="single" w:color="auto" w:sz="4" w:space="0"/>
              <w:left w:val="nil"/>
              <w:bottom w:val="single" w:color="auto" w:sz="4" w:space="0"/>
              <w:right w:val="single" w:color="auto" w:sz="4" w:space="0"/>
            </w:tcBorders>
            <w:vAlign w:val="center"/>
          </w:tcPr>
          <w:p>
            <w:pPr>
              <w:rPr>
                <w:rFonts w:hint="eastAsia" w:asciiTheme="minorHAnsi" w:hAnsiTheme="minorHAnsi" w:eastAsiaTheme="minorEastAsia" w:cstheme="minorBidi"/>
                <w:sz w:val="21"/>
                <w:szCs w:val="22"/>
                <w:lang w:val="en-US" w:eastAsia="zh-CN" w:bidi="ar-SA"/>
              </w:rPr>
            </w:pPr>
            <w:r>
              <w:rPr>
                <w:rFonts w:hint="eastAsia" w:asciiTheme="minorHAnsi" w:hAnsiTheme="minorHAnsi" w:eastAsiaTheme="minorEastAsia" w:cstheme="minorBidi"/>
                <w:szCs w:val="22"/>
                <w:lang w:eastAsia="zh-CN"/>
              </w:rPr>
              <w:t>陈赟</w:t>
            </w: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1037" w:type="dxa"/>
            <w:tcBorders>
              <w:top w:val="single" w:color="auto" w:sz="4" w:space="0"/>
              <w:left w:val="nil"/>
              <w:bottom w:val="single" w:color="auto" w:sz="4" w:space="0"/>
              <w:right w:val="single" w:color="auto" w:sz="4" w:space="0"/>
            </w:tcBorders>
            <w:vAlign w:val="center"/>
          </w:tcPr>
          <w:p>
            <w:pPr>
              <w:jc w:val="center"/>
            </w:pPr>
          </w:p>
        </w:tc>
        <w:tc>
          <w:tcPr>
            <w:tcW w:w="2203" w:type="dxa"/>
            <w:tcBorders>
              <w:top w:val="single" w:color="auto" w:sz="4" w:space="0"/>
              <w:left w:val="nil"/>
              <w:bottom w:val="single" w:color="auto" w:sz="4" w:space="0"/>
              <w:right w:val="single" w:color="auto" w:sz="4" w:space="0"/>
            </w:tcBorders>
            <w:vAlign w:val="center"/>
          </w:tcPr>
          <w:p>
            <w:pPr>
              <w:jc w:val="center"/>
            </w:pPr>
          </w:p>
        </w:tc>
        <w:tc>
          <w:tcPr>
            <w:tcW w:w="2193" w:type="dxa"/>
            <w:tcBorders>
              <w:top w:val="single" w:color="auto" w:sz="4" w:space="0"/>
              <w:left w:val="nil"/>
              <w:bottom w:val="single" w:color="auto" w:sz="4" w:space="0"/>
              <w:right w:val="single" w:color="auto" w:sz="4" w:space="0"/>
            </w:tcBorders>
            <w:vAlign w:val="center"/>
          </w:tcPr>
          <w:p>
            <w:pPr>
              <w:jc w:val="center"/>
            </w:pPr>
          </w:p>
        </w:tc>
        <w:tc>
          <w:tcPr>
            <w:tcW w:w="1289" w:type="dxa"/>
            <w:tcBorders>
              <w:top w:val="single" w:color="auto" w:sz="4" w:space="0"/>
              <w:left w:val="nil"/>
              <w:bottom w:val="single" w:color="auto" w:sz="4" w:space="0"/>
              <w:right w:val="single" w:color="auto" w:sz="4" w:space="0"/>
            </w:tcBorders>
            <w:vAlign w:val="center"/>
          </w:tcPr>
          <w:p>
            <w:pPr>
              <w:jc w:val="center"/>
            </w:pP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1037" w:type="dxa"/>
            <w:tcBorders>
              <w:top w:val="single" w:color="auto" w:sz="4" w:space="0"/>
              <w:left w:val="nil"/>
              <w:bottom w:val="single" w:color="auto" w:sz="4" w:space="0"/>
              <w:right w:val="single" w:color="auto" w:sz="4" w:space="0"/>
            </w:tcBorders>
            <w:vAlign w:val="center"/>
          </w:tcPr>
          <w:p>
            <w:pPr>
              <w:jc w:val="center"/>
            </w:pPr>
          </w:p>
        </w:tc>
        <w:tc>
          <w:tcPr>
            <w:tcW w:w="2203" w:type="dxa"/>
            <w:tcBorders>
              <w:top w:val="single" w:color="auto" w:sz="4" w:space="0"/>
              <w:left w:val="nil"/>
              <w:bottom w:val="single" w:color="auto" w:sz="4" w:space="0"/>
              <w:right w:val="single" w:color="auto" w:sz="4" w:space="0"/>
            </w:tcBorders>
            <w:vAlign w:val="center"/>
          </w:tcPr>
          <w:p>
            <w:pPr>
              <w:jc w:val="center"/>
            </w:pPr>
          </w:p>
        </w:tc>
        <w:tc>
          <w:tcPr>
            <w:tcW w:w="2193" w:type="dxa"/>
            <w:tcBorders>
              <w:top w:val="single" w:color="auto" w:sz="4" w:space="0"/>
              <w:left w:val="nil"/>
              <w:bottom w:val="single" w:color="auto" w:sz="4" w:space="0"/>
              <w:right w:val="single" w:color="auto" w:sz="4" w:space="0"/>
            </w:tcBorders>
            <w:vAlign w:val="center"/>
          </w:tcPr>
          <w:p>
            <w:pPr>
              <w:jc w:val="center"/>
            </w:pPr>
          </w:p>
        </w:tc>
        <w:tc>
          <w:tcPr>
            <w:tcW w:w="1289" w:type="dxa"/>
            <w:tcBorders>
              <w:top w:val="single" w:color="auto" w:sz="4" w:space="0"/>
              <w:left w:val="nil"/>
              <w:bottom w:val="single" w:color="auto" w:sz="4" w:space="0"/>
              <w:right w:val="single" w:color="auto" w:sz="4" w:space="0"/>
            </w:tcBorders>
            <w:vAlign w:val="center"/>
          </w:tcPr>
          <w:p>
            <w:pPr>
              <w:jc w:val="center"/>
            </w:pP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1037" w:type="dxa"/>
            <w:tcBorders>
              <w:top w:val="single" w:color="auto" w:sz="4" w:space="0"/>
              <w:left w:val="nil"/>
              <w:bottom w:val="single" w:color="auto" w:sz="4" w:space="0"/>
              <w:right w:val="single" w:color="auto" w:sz="4" w:space="0"/>
            </w:tcBorders>
            <w:vAlign w:val="center"/>
          </w:tcPr>
          <w:p>
            <w:pPr>
              <w:jc w:val="center"/>
            </w:pPr>
          </w:p>
        </w:tc>
        <w:tc>
          <w:tcPr>
            <w:tcW w:w="2203" w:type="dxa"/>
            <w:tcBorders>
              <w:top w:val="single" w:color="auto" w:sz="4" w:space="0"/>
              <w:left w:val="nil"/>
              <w:bottom w:val="single" w:color="auto" w:sz="4" w:space="0"/>
              <w:right w:val="single" w:color="auto" w:sz="4" w:space="0"/>
            </w:tcBorders>
            <w:vAlign w:val="center"/>
          </w:tcPr>
          <w:p>
            <w:pPr>
              <w:jc w:val="center"/>
            </w:pPr>
          </w:p>
        </w:tc>
        <w:tc>
          <w:tcPr>
            <w:tcW w:w="2193" w:type="dxa"/>
            <w:tcBorders>
              <w:top w:val="single" w:color="auto" w:sz="4" w:space="0"/>
              <w:left w:val="nil"/>
              <w:bottom w:val="single" w:color="auto" w:sz="4" w:space="0"/>
              <w:right w:val="single" w:color="auto" w:sz="4" w:space="0"/>
            </w:tcBorders>
            <w:vAlign w:val="center"/>
          </w:tcPr>
          <w:p>
            <w:pPr>
              <w:jc w:val="center"/>
            </w:pPr>
          </w:p>
        </w:tc>
        <w:tc>
          <w:tcPr>
            <w:tcW w:w="1289" w:type="dxa"/>
            <w:tcBorders>
              <w:top w:val="single" w:color="auto" w:sz="4" w:space="0"/>
              <w:left w:val="nil"/>
              <w:bottom w:val="single" w:color="auto" w:sz="4" w:space="0"/>
              <w:right w:val="single" w:color="auto" w:sz="4" w:space="0"/>
            </w:tcBorders>
            <w:vAlign w:val="center"/>
          </w:tcPr>
          <w:p>
            <w:pPr>
              <w:jc w:val="center"/>
            </w:pP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1037" w:type="dxa"/>
            <w:tcBorders>
              <w:top w:val="single" w:color="auto" w:sz="4" w:space="0"/>
              <w:left w:val="nil"/>
              <w:bottom w:val="single" w:color="auto" w:sz="4" w:space="0"/>
              <w:right w:val="single" w:color="auto" w:sz="4" w:space="0"/>
            </w:tcBorders>
            <w:vAlign w:val="center"/>
          </w:tcPr>
          <w:p>
            <w:pPr>
              <w:jc w:val="center"/>
            </w:pPr>
          </w:p>
        </w:tc>
        <w:tc>
          <w:tcPr>
            <w:tcW w:w="2203" w:type="dxa"/>
            <w:tcBorders>
              <w:top w:val="single" w:color="auto" w:sz="4" w:space="0"/>
              <w:left w:val="nil"/>
              <w:bottom w:val="single" w:color="auto" w:sz="4" w:space="0"/>
              <w:right w:val="single" w:color="auto" w:sz="4" w:space="0"/>
            </w:tcBorders>
            <w:vAlign w:val="center"/>
          </w:tcPr>
          <w:p>
            <w:pPr>
              <w:jc w:val="center"/>
            </w:pPr>
          </w:p>
        </w:tc>
        <w:tc>
          <w:tcPr>
            <w:tcW w:w="2193" w:type="dxa"/>
            <w:tcBorders>
              <w:top w:val="single" w:color="auto" w:sz="4" w:space="0"/>
              <w:left w:val="nil"/>
              <w:bottom w:val="single" w:color="auto" w:sz="4" w:space="0"/>
              <w:right w:val="single" w:color="auto" w:sz="4" w:space="0"/>
            </w:tcBorders>
            <w:vAlign w:val="center"/>
          </w:tcPr>
          <w:p>
            <w:pPr>
              <w:jc w:val="both"/>
            </w:pPr>
          </w:p>
        </w:tc>
        <w:tc>
          <w:tcPr>
            <w:tcW w:w="1289" w:type="dxa"/>
            <w:tcBorders>
              <w:top w:val="single" w:color="auto" w:sz="4" w:space="0"/>
              <w:left w:val="nil"/>
              <w:bottom w:val="single" w:color="auto" w:sz="4" w:space="0"/>
              <w:right w:val="single" w:color="auto" w:sz="4" w:space="0"/>
            </w:tcBorders>
            <w:vAlign w:val="center"/>
          </w:tcPr>
          <w:p>
            <w:pPr>
              <w:jc w:val="center"/>
            </w:pP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1037" w:type="dxa"/>
            <w:tcBorders>
              <w:top w:val="single" w:color="auto" w:sz="4" w:space="0"/>
              <w:left w:val="nil"/>
              <w:bottom w:val="single" w:color="auto" w:sz="4" w:space="0"/>
              <w:right w:val="single" w:color="auto" w:sz="4" w:space="0"/>
            </w:tcBorders>
            <w:vAlign w:val="center"/>
          </w:tcPr>
          <w:p>
            <w:pPr>
              <w:jc w:val="center"/>
            </w:pPr>
          </w:p>
        </w:tc>
        <w:tc>
          <w:tcPr>
            <w:tcW w:w="2203" w:type="dxa"/>
            <w:tcBorders>
              <w:top w:val="single" w:color="auto" w:sz="4" w:space="0"/>
              <w:left w:val="nil"/>
              <w:bottom w:val="single" w:color="auto" w:sz="4" w:space="0"/>
              <w:right w:val="single" w:color="auto" w:sz="4" w:space="0"/>
            </w:tcBorders>
            <w:vAlign w:val="center"/>
          </w:tcPr>
          <w:p>
            <w:pPr>
              <w:jc w:val="center"/>
            </w:pPr>
          </w:p>
        </w:tc>
        <w:tc>
          <w:tcPr>
            <w:tcW w:w="2193" w:type="dxa"/>
            <w:tcBorders>
              <w:top w:val="single" w:color="auto" w:sz="4" w:space="0"/>
              <w:left w:val="nil"/>
              <w:bottom w:val="single" w:color="auto" w:sz="4" w:space="0"/>
              <w:right w:val="single" w:color="auto" w:sz="4" w:space="0"/>
            </w:tcBorders>
            <w:vAlign w:val="center"/>
          </w:tcPr>
          <w:p>
            <w:pPr>
              <w:jc w:val="center"/>
            </w:pPr>
          </w:p>
        </w:tc>
        <w:tc>
          <w:tcPr>
            <w:tcW w:w="1289" w:type="dxa"/>
            <w:tcBorders>
              <w:top w:val="single" w:color="auto" w:sz="4" w:space="0"/>
              <w:left w:val="nil"/>
              <w:bottom w:val="single" w:color="auto" w:sz="4" w:space="0"/>
              <w:right w:val="single" w:color="auto" w:sz="4" w:space="0"/>
            </w:tcBorders>
            <w:vAlign w:val="center"/>
          </w:tcPr>
          <w:p>
            <w:pPr>
              <w:jc w:val="center"/>
            </w:pPr>
          </w:p>
        </w:tc>
        <w:tc>
          <w:tcPr>
            <w:tcW w:w="1287" w:type="dxa"/>
            <w:tcBorders>
              <w:top w:val="single" w:color="auto" w:sz="4" w:space="0"/>
              <w:left w:val="nil"/>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6" w:type="dxa"/>
            <w:tcBorders>
              <w:top w:val="single" w:color="auto" w:sz="4" w:space="0"/>
              <w:left w:val="single" w:color="auto" w:sz="4" w:space="0"/>
              <w:bottom w:val="single" w:color="auto" w:sz="4" w:space="0"/>
              <w:right w:val="single" w:color="auto" w:sz="4" w:space="0"/>
            </w:tcBorders>
            <w:vAlign w:val="center"/>
          </w:tcPr>
          <w:p>
            <w:pPr>
              <w:jc w:val="center"/>
            </w:pPr>
          </w:p>
        </w:tc>
        <w:tc>
          <w:tcPr>
            <w:tcW w:w="1037" w:type="dxa"/>
            <w:tcBorders>
              <w:top w:val="single" w:color="auto" w:sz="4" w:space="0"/>
              <w:left w:val="nil"/>
              <w:bottom w:val="single" w:color="auto" w:sz="4" w:space="0"/>
              <w:right w:val="single" w:color="auto" w:sz="4" w:space="0"/>
            </w:tcBorders>
            <w:vAlign w:val="center"/>
          </w:tcPr>
          <w:p>
            <w:pPr>
              <w:jc w:val="center"/>
            </w:pPr>
          </w:p>
        </w:tc>
        <w:tc>
          <w:tcPr>
            <w:tcW w:w="2203" w:type="dxa"/>
            <w:tcBorders>
              <w:top w:val="single" w:color="auto" w:sz="4" w:space="0"/>
              <w:left w:val="nil"/>
              <w:bottom w:val="single" w:color="auto" w:sz="4" w:space="0"/>
              <w:right w:val="single" w:color="auto" w:sz="4" w:space="0"/>
            </w:tcBorders>
            <w:vAlign w:val="center"/>
          </w:tcPr>
          <w:p>
            <w:pPr>
              <w:jc w:val="center"/>
            </w:pPr>
          </w:p>
        </w:tc>
        <w:tc>
          <w:tcPr>
            <w:tcW w:w="2193" w:type="dxa"/>
            <w:tcBorders>
              <w:top w:val="single" w:color="auto" w:sz="4" w:space="0"/>
              <w:left w:val="nil"/>
              <w:bottom w:val="single" w:color="auto" w:sz="4" w:space="0"/>
              <w:right w:val="single" w:color="auto" w:sz="4" w:space="0"/>
            </w:tcBorders>
            <w:vAlign w:val="center"/>
          </w:tcPr>
          <w:p>
            <w:pPr>
              <w:jc w:val="center"/>
            </w:pPr>
          </w:p>
        </w:tc>
        <w:tc>
          <w:tcPr>
            <w:tcW w:w="1289" w:type="dxa"/>
            <w:tcBorders>
              <w:top w:val="single" w:color="auto" w:sz="4" w:space="0"/>
              <w:left w:val="nil"/>
              <w:bottom w:val="single" w:color="auto" w:sz="4" w:space="0"/>
              <w:right w:val="single" w:color="auto" w:sz="4" w:space="0"/>
            </w:tcBorders>
            <w:vAlign w:val="center"/>
          </w:tcPr>
          <w:p>
            <w:pPr>
              <w:jc w:val="center"/>
            </w:pPr>
          </w:p>
        </w:tc>
        <w:tc>
          <w:tcPr>
            <w:tcW w:w="1287" w:type="dxa"/>
            <w:tcBorders>
              <w:top w:val="single" w:color="auto" w:sz="4" w:space="0"/>
              <w:left w:val="nil"/>
              <w:bottom w:val="single" w:color="auto" w:sz="4" w:space="0"/>
              <w:right w:val="single" w:color="auto" w:sz="4" w:space="0"/>
            </w:tcBorders>
            <w:vAlign w:val="center"/>
          </w:tcPr>
          <w:p>
            <w:pPr>
              <w:jc w:val="center"/>
            </w:pPr>
          </w:p>
        </w:tc>
      </w:tr>
    </w:tbl>
    <w:p>
      <w:pPr>
        <w:sectPr>
          <w:pgSz w:w="11906" w:h="16838"/>
          <w:pgMar w:top="1440" w:right="1800" w:bottom="1440" w:left="1800" w:header="851" w:footer="992" w:gutter="0"/>
          <w:cols w:space="425" w:num="1"/>
          <w:docGrid w:type="lines" w:linePitch="312" w:charSpace="0"/>
        </w:sectPr>
      </w:pPr>
    </w:p>
    <w:sdt>
      <w:sdtPr>
        <w:rPr>
          <w:rFonts w:ascii="宋体" w:hAnsi="宋体" w:eastAsia="宋体" w:cs="宋体"/>
          <w:b/>
          <w:bCs/>
          <w:color w:val="auto"/>
          <w:sz w:val="21"/>
          <w:szCs w:val="24"/>
          <w:lang w:val="zh-CN"/>
        </w:rPr>
        <w:id w:val="681628748"/>
        <w:docPartObj>
          <w:docPartGallery w:val="Table of Contents"/>
          <w:docPartUnique/>
        </w:docPartObj>
      </w:sdtPr>
      <w:sdtEndPr>
        <w:rPr>
          <w:rFonts w:ascii="宋体" w:hAnsi="宋体" w:eastAsia="宋体" w:cs="宋体"/>
          <w:b/>
          <w:bCs/>
          <w:color w:val="auto"/>
          <w:sz w:val="21"/>
          <w:szCs w:val="24"/>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 w:val="clear" w:pos="210"/>
              <w:tab w:val="clear" w:pos="8296"/>
            </w:tabs>
          </w:pPr>
          <w:r>
            <w:fldChar w:fldCharType="begin"/>
          </w:r>
          <w:r>
            <w:instrText xml:space="preserve"> TOC \o "1-3" \h \z \u </w:instrText>
          </w:r>
          <w:r>
            <w:fldChar w:fldCharType="separate"/>
          </w:r>
          <w:r>
            <w:fldChar w:fldCharType="begin"/>
          </w:r>
          <w:r>
            <w:instrText xml:space="preserve"> HYPERLINK \l _Toc1071823357 </w:instrText>
          </w:r>
          <w:r>
            <w:fldChar w:fldCharType="separate"/>
          </w:r>
          <w:r>
            <w:rPr>
              <w:rFonts w:hint="eastAsia" w:ascii="宋体" w:hAnsi="宋体" w:eastAsia="宋体"/>
            </w:rPr>
            <w:t xml:space="preserve">第 1 章 </w:t>
          </w:r>
          <w:r>
            <w:rPr>
              <w:rFonts w:hint="eastAsia"/>
            </w:rPr>
            <w:t>引言</w:t>
          </w:r>
          <w:r>
            <w:tab/>
          </w:r>
          <w:r>
            <w:fldChar w:fldCharType="begin"/>
          </w:r>
          <w:r>
            <w:instrText xml:space="preserve"> PAGEREF _Toc1071823357 </w:instrText>
          </w:r>
          <w:r>
            <w:fldChar w:fldCharType="separate"/>
          </w:r>
          <w:r>
            <w:t>2</w:t>
          </w:r>
          <w:r>
            <w:fldChar w:fldCharType="end"/>
          </w:r>
          <w: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_Toc1317152783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1.1 </w:t>
          </w:r>
          <w:r>
            <w:rPr>
              <w:rFonts w:hint="eastAsia"/>
            </w:rPr>
            <w:t>目的</w:t>
          </w:r>
          <w:r>
            <w:tab/>
          </w:r>
          <w:r>
            <w:fldChar w:fldCharType="begin"/>
          </w:r>
          <w:r>
            <w:instrText xml:space="preserve"> PAGEREF _Toc1317152783 </w:instrText>
          </w:r>
          <w:r>
            <w:fldChar w:fldCharType="separate"/>
          </w:r>
          <w:r>
            <w:t>2</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_Toc1226310750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1.2 </w:t>
          </w:r>
          <w:r>
            <w:rPr>
              <w:rFonts w:hint="eastAsia"/>
            </w:rPr>
            <w:t>项目背景</w:t>
          </w:r>
          <w:r>
            <w:tab/>
          </w:r>
          <w:r>
            <w:fldChar w:fldCharType="begin"/>
          </w:r>
          <w:r>
            <w:instrText xml:space="preserve"> PAGEREF _Toc1226310750 </w:instrText>
          </w:r>
          <w:r>
            <w:fldChar w:fldCharType="separate"/>
          </w:r>
          <w:r>
            <w:t>2</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_Toc84142373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1.3 </w:t>
          </w:r>
          <w:r>
            <w:rPr>
              <w:rFonts w:hint="eastAsia"/>
            </w:rPr>
            <w:t>术语和缩略语</w:t>
          </w:r>
          <w:r>
            <w:tab/>
          </w:r>
          <w:r>
            <w:fldChar w:fldCharType="begin"/>
          </w:r>
          <w:r>
            <w:instrText xml:space="preserve"> PAGEREF _Toc84142373 </w:instrText>
          </w:r>
          <w:r>
            <w:fldChar w:fldCharType="separate"/>
          </w:r>
          <w:r>
            <w:t>2</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_Toc1478600677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1.4 </w:t>
          </w:r>
          <w:r>
            <w:rPr>
              <w:rFonts w:hint="eastAsia"/>
            </w:rPr>
            <w:t>参考资料</w:t>
          </w:r>
          <w:r>
            <w:tab/>
          </w:r>
          <w:r>
            <w:fldChar w:fldCharType="begin"/>
          </w:r>
          <w:r>
            <w:instrText xml:space="preserve"> PAGEREF _Toc1478600677 </w:instrText>
          </w:r>
          <w:r>
            <w:fldChar w:fldCharType="separate"/>
          </w:r>
          <w:r>
            <w:t>8</w:t>
          </w:r>
          <w:r>
            <w:fldChar w:fldCharType="end"/>
          </w:r>
          <w:r>
            <w:rPr>
              <w:bCs/>
              <w:lang w:val="zh-CN"/>
            </w:rPr>
            <w:fldChar w:fldCharType="end"/>
          </w:r>
        </w:p>
        <w:p>
          <w:pPr>
            <w:pStyle w:val="16"/>
            <w:tabs>
              <w:tab w:val="right" w:leader="dot" w:pos="8306"/>
              <w:tab w:val="clear" w:pos="210"/>
              <w:tab w:val="clear" w:pos="8296"/>
            </w:tabs>
          </w:pPr>
          <w:r>
            <w:rPr>
              <w:bCs/>
              <w:lang w:val="zh-CN"/>
            </w:rPr>
            <w:fldChar w:fldCharType="begin"/>
          </w:r>
          <w:r>
            <w:rPr>
              <w:bCs/>
              <w:lang w:val="zh-CN"/>
            </w:rPr>
            <w:instrText xml:space="preserve"> HYPERLINK \l _Toc828752122 </w:instrText>
          </w:r>
          <w:r>
            <w:rPr>
              <w:bCs/>
              <w:lang w:val="zh-CN"/>
            </w:rPr>
            <w:fldChar w:fldCharType="separate"/>
          </w:r>
          <w:r>
            <w:rPr>
              <w:rFonts w:hint="eastAsia" w:ascii="宋体" w:hAnsi="宋体" w:eastAsia="宋体"/>
            </w:rPr>
            <w:t xml:space="preserve">第 2 章 </w:t>
          </w:r>
          <w:r>
            <w:rPr>
              <w:rFonts w:hint="eastAsia"/>
              <w:lang w:val="en-US" w:eastAsia="zh-CN"/>
            </w:rPr>
            <w:t>生产（代理）企业</w:t>
          </w:r>
          <w:r>
            <w:tab/>
          </w:r>
          <w:r>
            <w:fldChar w:fldCharType="begin"/>
          </w:r>
          <w:r>
            <w:instrText xml:space="preserve"> PAGEREF _Toc828752122 </w:instrText>
          </w:r>
          <w:r>
            <w:fldChar w:fldCharType="separate"/>
          </w:r>
          <w:r>
            <w:t>8</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_Toc662694906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2.1 </w:t>
          </w:r>
          <w:r>
            <w:rPr>
              <w:rFonts w:hint="eastAsia"/>
            </w:rPr>
            <w:t>耗材交易结算</w:t>
          </w:r>
          <w:r>
            <w:tab/>
          </w:r>
          <w:r>
            <w:fldChar w:fldCharType="begin"/>
          </w:r>
          <w:r>
            <w:instrText xml:space="preserve"> PAGEREF _Toc662694906 </w:instrText>
          </w:r>
          <w:r>
            <w:fldChar w:fldCharType="separate"/>
          </w:r>
          <w:r>
            <w:t>8</w:t>
          </w:r>
          <w:r>
            <w:fldChar w:fldCharType="end"/>
          </w:r>
          <w:r>
            <w:rPr>
              <w:bCs/>
              <w:lang w:val="zh-CN"/>
            </w:rPr>
            <w:fldChar w:fldCharType="end"/>
          </w:r>
        </w:p>
        <w:p>
          <w:pPr>
            <w:pStyle w:val="12"/>
            <w:tabs>
              <w:tab w:val="right" w:leader="dot" w:pos="8306"/>
              <w:tab w:val="clear" w:pos="1239"/>
              <w:tab w:val="clear" w:pos="8295"/>
            </w:tabs>
          </w:pPr>
          <w:r>
            <w:rPr>
              <w:bCs/>
              <w:lang w:val="zh-CN"/>
            </w:rPr>
            <w:fldChar w:fldCharType="begin"/>
          </w:r>
          <w:r>
            <w:rPr>
              <w:bCs/>
              <w:lang w:val="zh-CN"/>
            </w:rPr>
            <w:instrText xml:space="preserve"> HYPERLINK \l _Toc832368865 </w:instrText>
          </w:r>
          <w:r>
            <w:rPr>
              <w:bCs/>
              <w:lang w:val="zh-CN"/>
            </w:rPr>
            <w:fldChar w:fldCharType="separate"/>
          </w:r>
          <w:r>
            <w:rPr>
              <w:rFonts w:hint="eastAsia" w:ascii="宋体" w:hAnsi="宋体" w:eastAsia="宋体"/>
              <w:szCs w:val="24"/>
            </w:rPr>
            <w:t xml:space="preserve">2.1.1 </w:t>
          </w:r>
          <w:r>
            <w:rPr>
              <w:rFonts w:hint="eastAsia"/>
              <w:lang w:val="en-US" w:eastAsia="zh-CN"/>
            </w:rPr>
            <w:t>联动价格填报</w:t>
          </w:r>
          <w:r>
            <w:tab/>
          </w:r>
          <w:r>
            <w:fldChar w:fldCharType="begin"/>
          </w:r>
          <w:r>
            <w:instrText xml:space="preserve"> PAGEREF _Toc832368865 </w:instrText>
          </w:r>
          <w:r>
            <w:fldChar w:fldCharType="separate"/>
          </w:r>
          <w:r>
            <w:t>8</w:t>
          </w:r>
          <w:r>
            <w:fldChar w:fldCharType="end"/>
          </w:r>
          <w:r>
            <w:rPr>
              <w:bCs/>
              <w:lang w:val="zh-CN"/>
            </w:rPr>
            <w:fldChar w:fldCharType="end"/>
          </w:r>
        </w:p>
        <w:p>
          <w:r>
            <w:rPr>
              <w:bCs/>
              <w:lang w:val="zh-CN"/>
            </w:rPr>
            <w:fldChar w:fldCharType="end"/>
          </w:r>
        </w:p>
      </w:sdtContent>
    </w:sdt>
    <w:p>
      <w:pPr>
        <w:tabs>
          <w:tab w:val="left" w:pos="1239"/>
        </w:tabs>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pStyle w:val="32"/>
      </w:pPr>
      <w:bookmarkStart w:id="0" w:name="_Toc34402694"/>
      <w:bookmarkStart w:id="1" w:name="_Toc520799909"/>
      <w:bookmarkStart w:id="2" w:name="_Toc27896"/>
      <w:r>
        <w:rPr>
          <w:rFonts w:hint="eastAsia"/>
        </w:rPr>
        <w:t xml:space="preserve"> </w:t>
      </w:r>
      <w:bookmarkStart w:id="3" w:name="_Toc39353691"/>
      <w:bookmarkStart w:id="4" w:name="_Toc1071823357"/>
      <w:r>
        <w:rPr>
          <w:rFonts w:hint="eastAsia"/>
        </w:rPr>
        <w:t>引言</w:t>
      </w:r>
      <w:bookmarkEnd w:id="0"/>
      <w:bookmarkEnd w:id="1"/>
      <w:bookmarkEnd w:id="2"/>
      <w:bookmarkEnd w:id="3"/>
      <w:bookmarkEnd w:id="4"/>
    </w:p>
    <w:p>
      <w:pPr>
        <w:pStyle w:val="35"/>
      </w:pPr>
      <w:bookmarkStart w:id="5" w:name="_Toc32578"/>
      <w:bookmarkStart w:id="6" w:name="_Toc520799910"/>
      <w:bookmarkStart w:id="7" w:name="_Toc34402695"/>
      <w:r>
        <w:rPr>
          <w:rFonts w:hint="eastAsia"/>
        </w:rPr>
        <w:t xml:space="preserve"> </w:t>
      </w:r>
      <w:bookmarkStart w:id="8" w:name="_Toc35435021"/>
      <w:bookmarkStart w:id="9" w:name="_Toc39353692"/>
      <w:bookmarkStart w:id="10" w:name="_Toc1317152783"/>
      <w:r>
        <w:rPr>
          <w:rFonts w:hint="eastAsia"/>
        </w:rPr>
        <w:t>目的</w:t>
      </w:r>
      <w:bookmarkEnd w:id="5"/>
      <w:bookmarkEnd w:id="6"/>
      <w:bookmarkEnd w:id="7"/>
      <w:bookmarkEnd w:id="8"/>
      <w:bookmarkEnd w:id="9"/>
      <w:bookmarkEnd w:id="10"/>
    </w:p>
    <w:p>
      <w:pPr>
        <w:ind w:firstLine="420" w:firstLineChars="200"/>
        <w:rPr>
          <w:rFonts w:ascii="Calibri" w:hAnsi="Calibri"/>
          <w:szCs w:val="22"/>
        </w:rPr>
      </w:pPr>
      <w:r>
        <w:rPr>
          <w:rFonts w:ascii="Calibri" w:hAnsi="Calibri"/>
          <w:szCs w:val="22"/>
        </w:rPr>
        <w:t>该手册是为了方便用户使用药品和医用耗材招采管理子系统（后面简称：招采子系统），阐明如何使用招采子系统，向用户解释该系统的作用或在必要时作为参考。</w:t>
      </w:r>
    </w:p>
    <w:p>
      <w:pPr>
        <w:ind w:firstLine="420" w:firstLineChars="200"/>
        <w:rPr>
          <w:rFonts w:ascii="Calibri" w:hAnsi="Calibri"/>
          <w:szCs w:val="22"/>
        </w:rPr>
      </w:pPr>
      <w:r>
        <w:rPr>
          <w:rFonts w:ascii="Calibri" w:hAnsi="Calibri"/>
          <w:szCs w:val="22"/>
        </w:rPr>
        <w:t>预期读者为</w:t>
      </w:r>
      <w:r>
        <w:rPr>
          <w:rFonts w:hint="eastAsia" w:ascii="Calibri" w:hAnsi="Calibri"/>
          <w:szCs w:val="22"/>
        </w:rPr>
        <w:t>配送企业</w:t>
      </w:r>
      <w:r>
        <w:rPr>
          <w:rFonts w:ascii="Calibri" w:hAnsi="Calibri"/>
          <w:szCs w:val="22"/>
        </w:rPr>
        <w:t>。</w:t>
      </w:r>
    </w:p>
    <w:p>
      <w:pPr>
        <w:pStyle w:val="35"/>
      </w:pPr>
      <w:bookmarkStart w:id="11" w:name="_Toc23634"/>
      <w:bookmarkStart w:id="12" w:name="_Toc34402696"/>
      <w:bookmarkStart w:id="13" w:name="_Toc520799911"/>
      <w:r>
        <w:rPr>
          <w:rFonts w:hint="eastAsia"/>
        </w:rPr>
        <w:t xml:space="preserve"> </w:t>
      </w:r>
      <w:bookmarkStart w:id="14" w:name="_Toc1226310750"/>
      <w:bookmarkStart w:id="15" w:name="_Toc39353693"/>
      <w:bookmarkStart w:id="16" w:name="_Toc35435022"/>
      <w:r>
        <w:rPr>
          <w:rFonts w:hint="eastAsia"/>
        </w:rPr>
        <w:t>项目背景</w:t>
      </w:r>
      <w:bookmarkEnd w:id="11"/>
      <w:bookmarkEnd w:id="12"/>
      <w:bookmarkEnd w:id="13"/>
      <w:bookmarkEnd w:id="14"/>
      <w:bookmarkEnd w:id="15"/>
      <w:bookmarkEnd w:id="16"/>
    </w:p>
    <w:p>
      <w:pPr>
        <w:pStyle w:val="19"/>
        <w:ind w:left="59" w:firstLineChars="0"/>
      </w:pPr>
      <w:r>
        <w:rPr>
          <w:rFonts w:hint="eastAsia"/>
        </w:rPr>
        <w:t>国家医疗保障局以习近平新时代中国特色社会主义思想为指导，按照党中央、国务院的决策部署，面向医疗保障的重点领域和关键环节，持续推进全国医疗保障标准化、智能化和信息化。本项目重点加强顶层设计、统一业务标准、打造基础平台、做好数据汇集、强化协同共享，依托国家基础信息资源，国家统一电子政务网络及数据交换平台，建设全国统一的国家医疗保障信息平台，不断提高国家医保治理能力和服务水平，支撑消解新常态下我国医疗保障领域重点、难点、热点问题，为构建更加公平、更加可持续的医疗保障体系，全面实施医疗保障精准扶贫，积极推进医保与医疗、医药“三医联动”，助力提高医改整体效能和实施健康中国战略提供信息化支撑。</w:t>
      </w:r>
    </w:p>
    <w:p>
      <w:pPr>
        <w:pStyle w:val="19"/>
        <w:ind w:left="59" w:firstLineChars="0"/>
      </w:pPr>
      <w:r>
        <w:rPr>
          <w:rFonts w:hint="eastAsia"/>
        </w:rPr>
        <w:t>针对医疗保障全民覆盖、需求刚性、主体多元、业务复杂、发展不均衡及在线化服务要求高、专业化治理难度大等特点，国家医疗保障信息平台将致力于消除医疗保障信息化领域数据鸿沟、信息孤岛、技术壁垒、应用烟囱、部门藩篱等信息系统碎片化问题，注重顶层设计、标准引领、数据汇聚、资源整合、服务融合、平台建设及能力输出。</w:t>
      </w:r>
    </w:p>
    <w:p>
      <w:pPr>
        <w:pStyle w:val="19"/>
        <w:ind w:left="59" w:firstLine="0" w:firstLineChars="0"/>
      </w:pPr>
      <w:r>
        <w:rPr>
          <w:rFonts w:hint="eastAsia"/>
        </w:rPr>
        <w:t>医疗保障信息平台建设内容包括标准规范体系建设、信息资源规划与数据库建设、14个业务系统的建设、基础设施建设以及1个应用支撑子系统的建设。</w:t>
      </w:r>
    </w:p>
    <w:p>
      <w:pPr>
        <w:pStyle w:val="40"/>
        <w:ind w:firstLine="420"/>
      </w:pPr>
      <w:r>
        <w:rPr>
          <w:rFonts w:hint="eastAsia" w:ascii="Calibri" w:hAnsi="Calibri"/>
          <w:szCs w:val="22"/>
        </w:rPr>
        <w:t>医疗保障信息平台建成后将为13.6亿全国参保人员、约12万各级医保工作人员、3260个统筹区（包含400个市级+2860县级的统筹区）、366个经办机构（包含32个省级+334个市级）、2900万参保单位企业机构以及全国医院、药店以及药品和耗材厂家提供支持和服务。</w:t>
      </w:r>
    </w:p>
    <w:p>
      <w:pPr>
        <w:pStyle w:val="35"/>
      </w:pPr>
      <w:bookmarkStart w:id="17" w:name="_Toc35435023"/>
      <w:bookmarkStart w:id="18" w:name="_Toc34402697"/>
      <w:bookmarkStart w:id="19" w:name="_Toc520799912"/>
      <w:bookmarkStart w:id="20" w:name="_Toc32076"/>
      <w:r>
        <w:rPr>
          <w:rFonts w:hint="eastAsia"/>
        </w:rPr>
        <w:t xml:space="preserve"> </w:t>
      </w:r>
      <w:bookmarkStart w:id="21" w:name="_Toc84142373"/>
      <w:bookmarkStart w:id="22" w:name="_Toc39353694"/>
      <w:r>
        <w:rPr>
          <w:rFonts w:hint="eastAsia"/>
        </w:rPr>
        <w:t>术语和缩略语</w:t>
      </w:r>
      <w:bookmarkEnd w:id="17"/>
      <w:bookmarkEnd w:id="18"/>
      <w:bookmarkEnd w:id="19"/>
      <w:bookmarkEnd w:id="20"/>
      <w:bookmarkEnd w:id="21"/>
      <w:bookmarkEnd w:id="22"/>
    </w:p>
    <w:p>
      <w:pPr>
        <w:ind w:firstLine="420" w:firstLineChars="200"/>
        <w:rPr>
          <w:szCs w:val="21"/>
        </w:rPr>
      </w:pPr>
      <w:r>
        <w:rPr>
          <w:rFonts w:hint="eastAsia"/>
          <w:szCs w:val="21"/>
        </w:rPr>
        <w:t>GB/T 18391.3、GB/T 19488.1中界定的以及下列术语和定义适用于本文件。</w:t>
      </w:r>
    </w:p>
    <w:p>
      <w:pPr>
        <w:numPr>
          <w:ilvl w:val="0"/>
          <w:numId w:val="3"/>
        </w:numPr>
        <w:ind w:firstLine="420" w:firstLineChars="200"/>
        <w:rPr>
          <w:szCs w:val="21"/>
        </w:rPr>
      </w:pPr>
      <w:r>
        <w:rPr>
          <w:rFonts w:hint="eastAsia"/>
          <w:szCs w:val="21"/>
        </w:rPr>
        <w:t>化学药品</w:t>
      </w:r>
      <w:r>
        <w:rPr>
          <w:rFonts w:hint="eastAsia"/>
          <w:szCs w:val="21"/>
        </w:rPr>
        <w:tab/>
      </w:r>
      <w:r>
        <w:rPr>
          <w:rFonts w:hint="eastAsia"/>
          <w:szCs w:val="21"/>
        </w:rPr>
        <w:t>chemical drug</w:t>
      </w:r>
    </w:p>
    <w:p>
      <w:pPr>
        <w:ind w:firstLine="420" w:firstLineChars="200"/>
        <w:rPr>
          <w:szCs w:val="21"/>
        </w:rPr>
      </w:pPr>
      <w:r>
        <w:rPr>
          <w:rFonts w:hint="eastAsia"/>
          <w:szCs w:val="21"/>
        </w:rPr>
        <w:t>按化学药物管理的一类药品的统称，主要来自于化学合成，生物提取或生物发酵。</w:t>
      </w:r>
    </w:p>
    <w:p>
      <w:pPr>
        <w:ind w:firstLine="420" w:firstLineChars="200"/>
        <w:rPr>
          <w:szCs w:val="21"/>
        </w:rPr>
      </w:pPr>
      <w:r>
        <w:rPr>
          <w:rFonts w:hint="eastAsia"/>
          <w:szCs w:val="21"/>
        </w:rPr>
        <w:t>[CFDAB/T 0102.2-2014，定义2.3]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生物制品</w:t>
      </w:r>
      <w:r>
        <w:rPr>
          <w:rFonts w:hint="eastAsia"/>
          <w:szCs w:val="21"/>
        </w:rPr>
        <w:tab/>
      </w:r>
      <w:r>
        <w:rPr>
          <w:rFonts w:hint="eastAsia"/>
          <w:szCs w:val="21"/>
        </w:rPr>
        <w:t>biological product</w:t>
      </w:r>
    </w:p>
    <w:p>
      <w:pPr>
        <w:ind w:firstLine="420" w:firstLineChars="200"/>
        <w:rPr>
          <w:szCs w:val="21"/>
        </w:rPr>
      </w:pPr>
      <w:r>
        <w:rPr>
          <w:rFonts w:hint="eastAsia"/>
          <w:szCs w:val="21"/>
        </w:rPr>
        <w:t>以微生物、细胞、动物或人源组织和体液等为原料，应用传统技术或现代生物技术制成，用于人类疾病的预防、治疗和诊断。</w:t>
      </w:r>
    </w:p>
    <w:p>
      <w:pPr>
        <w:ind w:firstLine="420" w:firstLineChars="200"/>
        <w:rPr>
          <w:szCs w:val="21"/>
        </w:rPr>
      </w:pPr>
      <w:r>
        <w:rPr>
          <w:rFonts w:hint="eastAsia"/>
          <w:szCs w:val="21"/>
        </w:rPr>
        <w:t>[CFDAB/T 0102.2-2014，定义2.4]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中成药</w:t>
      </w:r>
      <w:r>
        <w:rPr>
          <w:rFonts w:hint="eastAsia"/>
          <w:szCs w:val="21"/>
        </w:rPr>
        <w:tab/>
      </w:r>
      <w:r>
        <w:rPr>
          <w:rFonts w:hint="eastAsia"/>
          <w:szCs w:val="21"/>
        </w:rPr>
        <w:t>traditional chinese medicine preparations</w:t>
      </w:r>
    </w:p>
    <w:p>
      <w:pPr>
        <w:ind w:firstLine="420" w:firstLineChars="200"/>
        <w:rPr>
          <w:szCs w:val="21"/>
        </w:rPr>
      </w:pPr>
      <w:r>
        <w:rPr>
          <w:rFonts w:hint="eastAsia"/>
          <w:szCs w:val="21"/>
        </w:rPr>
        <w:t>在中医药理论指导下，以中医处方为依据，以中药材为原料，按照规定的炮制制剂方法制成一定剂型的成品药。</w:t>
      </w:r>
    </w:p>
    <w:p>
      <w:pPr>
        <w:ind w:firstLine="420" w:firstLineChars="200"/>
        <w:rPr>
          <w:szCs w:val="21"/>
        </w:rPr>
      </w:pPr>
      <w:r>
        <w:rPr>
          <w:rFonts w:hint="eastAsia"/>
          <w:szCs w:val="21"/>
        </w:rPr>
        <w:t>[CFDAB/T 0102.2-2014，定义2.9]</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w:t>
      </w:r>
      <w:r>
        <w:rPr>
          <w:rFonts w:hint="eastAsia"/>
          <w:szCs w:val="21"/>
        </w:rPr>
        <w:tab/>
      </w:r>
      <w:r>
        <w:rPr>
          <w:rFonts w:hint="eastAsia"/>
          <w:szCs w:val="21"/>
        </w:rPr>
        <w:t>genetic drug</w:t>
      </w:r>
    </w:p>
    <w:p>
      <w:pPr>
        <w:ind w:firstLine="420" w:firstLineChars="200"/>
        <w:rPr>
          <w:szCs w:val="21"/>
        </w:rPr>
      </w:pPr>
      <w:r>
        <w:rPr>
          <w:rFonts w:hint="eastAsia"/>
          <w:szCs w:val="21"/>
        </w:rPr>
        <w:t>仿制国家已批准正式生产并已有国家药品标准的品种。</w:t>
      </w:r>
    </w:p>
    <w:p>
      <w:pPr>
        <w:ind w:firstLine="420" w:firstLineChars="200"/>
        <w:rPr>
          <w:szCs w:val="21"/>
        </w:rPr>
      </w:pPr>
      <w:r>
        <w:rPr>
          <w:rFonts w:hint="eastAsia"/>
          <w:szCs w:val="21"/>
        </w:rPr>
        <w:t>[CFDAB/T 0102.2-2014，定义2.11]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仿制药一致性评价</w:t>
      </w:r>
      <w:r>
        <w:rPr>
          <w:rFonts w:hint="eastAsia"/>
          <w:szCs w:val="21"/>
        </w:rPr>
        <w:tab/>
      </w:r>
      <w:r>
        <w:rPr>
          <w:rFonts w:hint="eastAsia"/>
          <w:szCs w:val="21"/>
        </w:rPr>
        <w:t>c</w:t>
      </w:r>
      <w:r>
        <w:rPr>
          <w:rFonts w:hint="eastAsia"/>
          <w:szCs w:val="21"/>
          <w:lang w:val="zh-CN"/>
        </w:rPr>
        <w:t>onsistency evaluation of generic drugs</w:t>
      </w:r>
    </w:p>
    <w:p>
      <w:pPr>
        <w:ind w:firstLine="420" w:firstLineChars="200"/>
        <w:rPr>
          <w:szCs w:val="21"/>
        </w:rPr>
      </w:pPr>
      <w:r>
        <w:rPr>
          <w:rFonts w:hint="eastAsia"/>
          <w:szCs w:val="21"/>
        </w:rPr>
        <w:t>对已经批准上市的仿制药，按与原研药品质量和疗效一致的原则，分期分批进行质量一致性评价，即仿制药需在质量与药效上达到与原研药一致的水平。</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原研药品</w:t>
      </w:r>
      <w:r>
        <w:rPr>
          <w:rFonts w:hint="eastAsia"/>
          <w:szCs w:val="21"/>
        </w:rPr>
        <w:tab/>
      </w:r>
      <w:r>
        <w:rPr>
          <w:rFonts w:hint="eastAsia"/>
          <w:szCs w:val="21"/>
        </w:rPr>
        <w:t>primary drug</w:t>
      </w:r>
    </w:p>
    <w:p>
      <w:pPr>
        <w:ind w:firstLine="420" w:firstLineChars="200"/>
        <w:rPr>
          <w:szCs w:val="21"/>
        </w:rPr>
      </w:pPr>
      <w:r>
        <w:rPr>
          <w:rFonts w:hint="eastAsia"/>
          <w:szCs w:val="21"/>
        </w:rPr>
        <w:t>原研药，即指原创性的新药，经过对成千上万种化合物层层筛选和严格的临床试验才得以获准上市。在我国，主要是指过了专利保护期的进口药。</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处方药</w:t>
      </w:r>
      <w:r>
        <w:rPr>
          <w:rFonts w:hint="eastAsia"/>
          <w:szCs w:val="21"/>
        </w:rPr>
        <w:tab/>
      </w:r>
      <w:r>
        <w:rPr>
          <w:rFonts w:hint="eastAsia"/>
          <w:szCs w:val="21"/>
        </w:rPr>
        <w:tab/>
      </w:r>
      <w:r>
        <w:rPr>
          <w:rFonts w:hint="eastAsia"/>
          <w:szCs w:val="21"/>
        </w:rPr>
        <w:t>prescription drug</w:t>
      </w:r>
    </w:p>
    <w:p>
      <w:pPr>
        <w:ind w:firstLine="420" w:firstLineChars="200"/>
        <w:rPr>
          <w:szCs w:val="21"/>
        </w:rPr>
      </w:pPr>
      <w:r>
        <w:rPr>
          <w:rFonts w:hint="eastAsia"/>
          <w:szCs w:val="21"/>
        </w:rPr>
        <w:t>为了保证用药安全，由国家卫生行政部门规定或审定的，需凭医师或其他有处方权的医疗专业人员开写处方发售，在医师、药师或其他医疗专业人员监督或指导下方可使用的药品。</w:t>
      </w:r>
    </w:p>
    <w:p>
      <w:pPr>
        <w:ind w:firstLine="420" w:firstLineChars="200"/>
        <w:rPr>
          <w:szCs w:val="21"/>
        </w:rPr>
      </w:pPr>
      <w:r>
        <w:rPr>
          <w:rFonts w:hint="eastAsia"/>
          <w:szCs w:val="21"/>
        </w:rPr>
        <w:t>[CFDAB/T 0102.2-2014，定义2.12]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非处方药  over the counter drug</w:t>
      </w:r>
      <w:r>
        <w:rPr>
          <w:rFonts w:hint="eastAsia"/>
          <w:szCs w:val="21"/>
        </w:rPr>
        <w:tab/>
      </w:r>
    </w:p>
    <w:p>
      <w:pPr>
        <w:ind w:firstLine="420" w:firstLineChars="200"/>
        <w:rPr>
          <w:szCs w:val="21"/>
        </w:rPr>
      </w:pPr>
      <w:r>
        <w:rPr>
          <w:rFonts w:hint="eastAsia"/>
          <w:szCs w:val="21"/>
        </w:rPr>
        <w:t>不需要凭医生处方，按药品说明书可自行判断、购买和使用的安全有效药品。</w:t>
      </w:r>
    </w:p>
    <w:p>
      <w:pPr>
        <w:ind w:firstLine="420" w:firstLineChars="200"/>
        <w:rPr>
          <w:szCs w:val="21"/>
        </w:rPr>
      </w:pPr>
      <w:r>
        <w:rPr>
          <w:rFonts w:hint="eastAsia"/>
          <w:szCs w:val="21"/>
        </w:rPr>
        <w:t>[CFDAB/T 0102.2-2014，定义2.13]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麻醉类药品  narcotic drug</w:t>
      </w:r>
    </w:p>
    <w:p>
      <w:pPr>
        <w:ind w:firstLine="420" w:firstLineChars="200"/>
        <w:rPr>
          <w:szCs w:val="21"/>
        </w:rPr>
      </w:pPr>
      <w:r>
        <w:rPr>
          <w:rFonts w:hint="eastAsia"/>
          <w:szCs w:val="21"/>
        </w:rPr>
        <w:t>对中枢神经有麻醉作用，连续使用、滥用或者不合理使用，易产生身体依赖性和精神依赖性，能成瘾癖的药品。常用的麻醉药品有醋托啡、乙酰阿法甲基芬太尼、醋美沙朵等。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精神类药品</w:t>
      </w:r>
      <w:r>
        <w:rPr>
          <w:rFonts w:hint="eastAsia"/>
          <w:szCs w:val="21"/>
        </w:rPr>
        <w:tab/>
      </w:r>
      <w:r>
        <w:rPr>
          <w:rFonts w:hint="eastAsia"/>
          <w:szCs w:val="21"/>
        </w:rPr>
        <w:t>psychotropic drug</w:t>
      </w:r>
    </w:p>
    <w:p>
      <w:pPr>
        <w:ind w:firstLine="420" w:firstLineChars="200"/>
        <w:rPr>
          <w:szCs w:val="21"/>
        </w:rPr>
      </w:pPr>
      <w:r>
        <w:rPr>
          <w:rFonts w:hint="eastAsia"/>
          <w:szCs w:val="21"/>
        </w:rPr>
        <w:t>直接作用于中枢神经系统，使之兴奋或抑制，连续使用能产生依赖性的药品。依据人体对精神药品产生的依赖性和危害人体健康的程度，将其分为一类和二类精神药品。</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国家基本药物</w:t>
      </w:r>
      <w:r>
        <w:rPr>
          <w:rFonts w:hint="eastAsia"/>
          <w:szCs w:val="21"/>
        </w:rPr>
        <w:tab/>
      </w:r>
      <w:r>
        <w:rPr>
          <w:rFonts w:hint="eastAsia"/>
          <w:szCs w:val="21"/>
        </w:rPr>
        <w:t>national essential drug</w:t>
      </w:r>
    </w:p>
    <w:p>
      <w:pPr>
        <w:ind w:firstLine="420" w:firstLineChars="200"/>
        <w:rPr>
          <w:szCs w:val="21"/>
        </w:rPr>
      </w:pPr>
      <w:r>
        <w:rPr>
          <w:rFonts w:hint="eastAsia"/>
          <w:szCs w:val="21"/>
        </w:rPr>
        <w:t>从国家日前临床应用的各类药物中，经过科学评价而筛选出的，必须能够满足大部分人口卫生保健需要的，在同类药品中具有代表性的药品。</w:t>
      </w:r>
    </w:p>
    <w:p>
      <w:pPr>
        <w:ind w:firstLine="420" w:firstLineChars="200"/>
        <w:rPr>
          <w:szCs w:val="21"/>
        </w:rPr>
      </w:pPr>
      <w:r>
        <w:rPr>
          <w:rFonts w:hint="eastAsia"/>
          <w:szCs w:val="21"/>
        </w:rPr>
        <w:t>[CFDAB/T 0102.2-2014，定义2.16]</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药品生产/代理企业  drug manufacturers</w:t>
      </w:r>
    </w:p>
    <w:p>
      <w:pPr>
        <w:ind w:firstLine="420" w:firstLineChars="200"/>
        <w:rPr>
          <w:szCs w:val="21"/>
        </w:rPr>
      </w:pPr>
      <w:r>
        <w:rPr>
          <w:rFonts w:hint="eastAsia"/>
          <w:szCs w:val="21"/>
        </w:rPr>
        <w:t>生产药品的专营企业或兼营企业。</w:t>
      </w:r>
    </w:p>
    <w:p>
      <w:pPr>
        <w:ind w:firstLine="420" w:firstLineChars="200"/>
        <w:rPr>
          <w:szCs w:val="21"/>
        </w:rPr>
      </w:pPr>
      <w:r>
        <w:rPr>
          <w:rFonts w:hint="eastAsia"/>
          <w:szCs w:val="21"/>
        </w:rPr>
        <w:t>[CFDAB/T 0102.2-2014，定义2.31]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药品经营企业</w:t>
      </w:r>
      <w:r>
        <w:rPr>
          <w:rFonts w:hint="eastAsia"/>
          <w:szCs w:val="21"/>
        </w:rPr>
        <w:tab/>
      </w:r>
      <w:r>
        <w:rPr>
          <w:rFonts w:hint="eastAsia"/>
          <w:szCs w:val="21"/>
        </w:rPr>
        <w:t>drug distributors</w:t>
      </w:r>
    </w:p>
    <w:p>
      <w:pPr>
        <w:ind w:firstLine="420" w:firstLineChars="200"/>
        <w:rPr>
          <w:szCs w:val="21"/>
        </w:rPr>
      </w:pPr>
      <w:r>
        <w:rPr>
          <w:rFonts w:hint="eastAsia"/>
          <w:szCs w:val="21"/>
        </w:rPr>
        <w:t>经营药品的专营企业或兼营企业。</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药品生产许可证</w:t>
      </w:r>
      <w:r>
        <w:rPr>
          <w:rFonts w:hint="eastAsia"/>
          <w:szCs w:val="21"/>
        </w:rPr>
        <w:tab/>
      </w:r>
      <w:r>
        <w:rPr>
          <w:rFonts w:hint="eastAsia"/>
          <w:szCs w:val="21"/>
        </w:rPr>
        <w:t>drug manufacturing certificate</w:t>
      </w:r>
    </w:p>
    <w:p>
      <w:pPr>
        <w:ind w:firstLine="420" w:firstLineChars="200"/>
        <w:rPr>
          <w:szCs w:val="21"/>
        </w:rPr>
      </w:pPr>
      <w:r>
        <w:rPr>
          <w:rFonts w:hint="eastAsia"/>
          <w:szCs w:val="21"/>
        </w:rPr>
        <w:t>食品药品监管部门按照相关法律法规规定的有关条件和程序经过审批发给生产/代理企业的表明其有权生产药品的资格证明文件之一。</w:t>
      </w:r>
    </w:p>
    <w:p>
      <w:pPr>
        <w:ind w:firstLine="420" w:firstLineChars="200"/>
        <w:rPr>
          <w:szCs w:val="21"/>
        </w:rPr>
      </w:pPr>
      <w:r>
        <w:rPr>
          <w:rFonts w:hint="eastAsia"/>
          <w:szCs w:val="21"/>
        </w:rPr>
        <w:t>[CFDAB/T 0102.2-2014，定义2.37]</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药品经营许可证</w:t>
      </w:r>
      <w:r>
        <w:rPr>
          <w:rFonts w:hint="eastAsia"/>
          <w:szCs w:val="21"/>
        </w:rPr>
        <w:tab/>
      </w:r>
      <w:r>
        <w:rPr>
          <w:rFonts w:hint="eastAsia"/>
          <w:szCs w:val="21"/>
        </w:rPr>
        <w:t>drug supply certificate</w:t>
      </w:r>
    </w:p>
    <w:p>
      <w:pPr>
        <w:ind w:firstLine="420" w:firstLineChars="200"/>
        <w:rPr>
          <w:szCs w:val="21"/>
        </w:rPr>
      </w:pPr>
      <w:r>
        <w:rPr>
          <w:rFonts w:hint="eastAsia"/>
          <w:szCs w:val="21"/>
        </w:rPr>
        <w:t>食品药品监管部门按照相关法律法规规定的有关条件和程序经过审批发给经营企业的表明其有权经营药品的资格证明文件。</w:t>
      </w:r>
    </w:p>
    <w:p>
      <w:pPr>
        <w:ind w:firstLine="420" w:firstLineChars="200"/>
        <w:rPr>
          <w:szCs w:val="21"/>
        </w:rPr>
      </w:pPr>
      <w:r>
        <w:rPr>
          <w:rFonts w:hint="eastAsia"/>
          <w:szCs w:val="21"/>
        </w:rPr>
        <w:t>[CFDAB/T 0102.2-2014，定义2.38]</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药品批准文号</w:t>
      </w:r>
      <w:r>
        <w:rPr>
          <w:rFonts w:hint="eastAsia"/>
          <w:szCs w:val="21"/>
        </w:rPr>
        <w:tab/>
      </w:r>
      <w:r>
        <w:rPr>
          <w:rFonts w:hint="eastAsia"/>
          <w:szCs w:val="21"/>
        </w:rPr>
        <w:t>drug approval number</w:t>
      </w:r>
    </w:p>
    <w:p>
      <w:pPr>
        <w:ind w:firstLine="420" w:firstLineChars="200"/>
        <w:rPr>
          <w:szCs w:val="21"/>
        </w:rPr>
      </w:pPr>
      <w:r>
        <w:rPr>
          <w:rFonts w:hint="eastAsia"/>
          <w:szCs w:val="21"/>
        </w:rPr>
        <w:t>在药品生产中，是药品生产批准文号的简称，是食品药品监管部门审核批准药品生产/代理企业生产某药品的专有编号。</w:t>
      </w:r>
    </w:p>
    <w:p>
      <w:pPr>
        <w:ind w:firstLine="420" w:firstLineChars="200"/>
        <w:rPr>
          <w:szCs w:val="21"/>
        </w:rPr>
      </w:pPr>
      <w:r>
        <w:rPr>
          <w:rFonts w:hint="eastAsia"/>
          <w:szCs w:val="21"/>
        </w:rPr>
        <w:t>[CFDAB/T 0102.2-2014，定义2.42]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药品生产质量管理规范</w:t>
      </w:r>
      <w:r>
        <w:rPr>
          <w:rFonts w:hint="eastAsia"/>
          <w:szCs w:val="21"/>
        </w:rPr>
        <w:tab/>
      </w:r>
      <w:r>
        <w:rPr>
          <w:rFonts w:hint="eastAsia"/>
          <w:szCs w:val="21"/>
        </w:rPr>
        <w:t>good manufacturing practice（GMP）</w:t>
      </w:r>
    </w:p>
    <w:p>
      <w:pPr>
        <w:ind w:firstLine="420" w:firstLineChars="200"/>
        <w:rPr>
          <w:szCs w:val="21"/>
        </w:rPr>
      </w:pPr>
      <w:r>
        <w:rPr>
          <w:rFonts w:hint="eastAsia"/>
          <w:szCs w:val="21"/>
        </w:rPr>
        <w:t>在生产过程中实行的保证药品质量的一套系统、科学的管理规范，是药品生产管理和质量管理的基本准则。</w:t>
      </w:r>
    </w:p>
    <w:p>
      <w:pPr>
        <w:ind w:firstLine="420" w:firstLineChars="200"/>
        <w:rPr>
          <w:szCs w:val="21"/>
        </w:rPr>
      </w:pPr>
      <w:r>
        <w:rPr>
          <w:rFonts w:hint="eastAsia"/>
          <w:szCs w:val="21"/>
        </w:rPr>
        <w:t>[CFDAB/T 0102.2-2014，定义2.54]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药品经营质量管理规范</w:t>
      </w:r>
      <w:r>
        <w:rPr>
          <w:rFonts w:hint="eastAsia"/>
          <w:szCs w:val="21"/>
        </w:rPr>
        <w:tab/>
      </w:r>
      <w:r>
        <w:rPr>
          <w:rFonts w:hint="eastAsia"/>
          <w:szCs w:val="21"/>
        </w:rPr>
        <w:t>good supply practice（GSP）</w:t>
      </w:r>
    </w:p>
    <w:p>
      <w:pPr>
        <w:ind w:firstLine="420" w:firstLineChars="200"/>
        <w:rPr>
          <w:szCs w:val="21"/>
        </w:rPr>
      </w:pPr>
      <w:r>
        <w:rPr>
          <w:rFonts w:hint="eastAsia"/>
          <w:szCs w:val="21"/>
        </w:rPr>
        <w:t>在药品流通过程中，针对计划采购、购进验收、储存、销售及售后服务等环节而制定的保证药品符合质量标准的一项管理制度。</w:t>
      </w:r>
    </w:p>
    <w:p>
      <w:pPr>
        <w:ind w:firstLine="420" w:firstLineChars="200"/>
        <w:rPr>
          <w:szCs w:val="21"/>
        </w:rPr>
      </w:pPr>
      <w:r>
        <w:rPr>
          <w:rFonts w:hint="eastAsia"/>
          <w:szCs w:val="21"/>
        </w:rPr>
        <w:t>[CFDAB/T 0102.2-2014，定义2.55]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药品通用名称  china approved drug names</w:t>
      </w:r>
    </w:p>
    <w:p>
      <w:pPr>
        <w:ind w:firstLine="420" w:firstLineChars="200"/>
        <w:rPr>
          <w:szCs w:val="21"/>
        </w:rPr>
      </w:pPr>
      <w:r>
        <w:rPr>
          <w:rFonts w:hint="eastAsia"/>
          <w:szCs w:val="21"/>
        </w:rPr>
        <w:t>药品通用名</w:t>
      </w:r>
    </w:p>
    <w:p>
      <w:pPr>
        <w:ind w:firstLine="420" w:firstLineChars="200"/>
        <w:rPr>
          <w:szCs w:val="21"/>
        </w:rPr>
      </w:pPr>
      <w:r>
        <w:rPr>
          <w:rFonts w:hint="eastAsia"/>
          <w:szCs w:val="21"/>
        </w:rPr>
        <w:t>国家药品标准《中国药品通用名称》或其增补本中收载的药品名称。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药品商品名称  drug product name</w:t>
      </w:r>
    </w:p>
    <w:p>
      <w:pPr>
        <w:ind w:firstLine="420" w:firstLineChars="200"/>
        <w:rPr>
          <w:szCs w:val="21"/>
        </w:rPr>
      </w:pPr>
      <w:r>
        <w:rPr>
          <w:rFonts w:hint="eastAsia"/>
          <w:szCs w:val="21"/>
        </w:rPr>
        <w:t>药品商品名</w:t>
      </w:r>
    </w:p>
    <w:p>
      <w:pPr>
        <w:ind w:firstLine="420" w:firstLineChars="200"/>
        <w:rPr>
          <w:szCs w:val="21"/>
        </w:rPr>
      </w:pPr>
      <w:r>
        <w:rPr>
          <w:rFonts w:hint="eastAsia"/>
          <w:szCs w:val="21"/>
        </w:rPr>
        <w:t>由药品生产/代理企业自己确定，经食品药品监管部门核准使用的产品名称。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w:t>
      </w:r>
      <w:r>
        <w:rPr>
          <w:rFonts w:hint="eastAsia"/>
          <w:szCs w:val="21"/>
        </w:rPr>
        <w:tab/>
      </w:r>
      <w:r>
        <w:rPr>
          <w:rFonts w:hint="eastAsia"/>
          <w:szCs w:val="21"/>
        </w:rPr>
        <w:t>medical supplies manufacturers</w:t>
      </w:r>
    </w:p>
    <w:p>
      <w:pPr>
        <w:ind w:firstLine="420" w:firstLineChars="200"/>
        <w:rPr>
          <w:szCs w:val="21"/>
        </w:rPr>
      </w:pPr>
      <w:r>
        <w:rPr>
          <w:rFonts w:hint="eastAsia"/>
          <w:szCs w:val="21"/>
        </w:rPr>
        <w:t>从事医用耗材生产，并取得医用耗材生产许可证或备案的企业。</w:t>
      </w:r>
    </w:p>
    <w:p>
      <w:pPr>
        <w:ind w:firstLine="420" w:firstLineChars="200"/>
        <w:rPr>
          <w:szCs w:val="21"/>
        </w:rPr>
      </w:pPr>
      <w:r>
        <w:rPr>
          <w:rFonts w:hint="eastAsia"/>
          <w:szCs w:val="21"/>
        </w:rPr>
        <w:t>[CFDAB/T 0102.2-2014，定义2.24]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w:t>
      </w:r>
      <w:r>
        <w:rPr>
          <w:rFonts w:hint="eastAsia"/>
          <w:szCs w:val="21"/>
        </w:rPr>
        <w:tab/>
      </w:r>
      <w:r>
        <w:rPr>
          <w:rFonts w:hint="eastAsia"/>
          <w:szCs w:val="21"/>
        </w:rPr>
        <w:t>medical supplies distributors</w:t>
      </w:r>
    </w:p>
    <w:p>
      <w:pPr>
        <w:ind w:firstLine="420" w:firstLineChars="200"/>
        <w:rPr>
          <w:szCs w:val="21"/>
        </w:rPr>
      </w:pPr>
      <w:r>
        <w:rPr>
          <w:rFonts w:hint="eastAsia"/>
          <w:szCs w:val="21"/>
        </w:rPr>
        <w:t>经营医用耗材的批发或零售企业。</w:t>
      </w:r>
    </w:p>
    <w:p>
      <w:pPr>
        <w:ind w:firstLine="420" w:firstLineChars="200"/>
        <w:rPr>
          <w:szCs w:val="21"/>
        </w:rPr>
      </w:pPr>
      <w:r>
        <w:rPr>
          <w:rFonts w:hint="eastAsia"/>
          <w:szCs w:val="21"/>
        </w:rPr>
        <w:t>[CFDAB/T 0102.2-2014，定义2.25]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医用耗材生产/代理企业许可证</w:t>
      </w:r>
      <w:r>
        <w:rPr>
          <w:rFonts w:hint="eastAsia"/>
          <w:szCs w:val="21"/>
        </w:rPr>
        <w:tab/>
      </w:r>
      <w:r>
        <w:rPr>
          <w:rFonts w:hint="eastAsia"/>
          <w:szCs w:val="21"/>
        </w:rPr>
        <w:t xml:space="preserve">  medical supplies manufacturing enterprise license</w:t>
      </w:r>
    </w:p>
    <w:p>
      <w:pPr>
        <w:ind w:firstLine="420" w:firstLineChars="200"/>
        <w:rPr>
          <w:szCs w:val="21"/>
        </w:rPr>
      </w:pPr>
      <w:r>
        <w:rPr>
          <w:rFonts w:hint="eastAsia"/>
          <w:szCs w:val="21"/>
        </w:rPr>
        <w:t>由食品药品监管部门审核颁发，许可企业生产医用耗材的证件。</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医用耗材经营企业许可证  medical supplies distributing enterprise license</w:t>
      </w:r>
    </w:p>
    <w:p>
      <w:pPr>
        <w:ind w:firstLine="420" w:firstLineChars="200"/>
        <w:rPr>
          <w:szCs w:val="21"/>
        </w:rPr>
      </w:pPr>
      <w:r>
        <w:rPr>
          <w:rFonts w:hint="eastAsia"/>
          <w:szCs w:val="21"/>
        </w:rPr>
        <w:t>由食品药品监管部门审核颁发，许可企业经营医用耗材的证件。</w:t>
      </w:r>
    </w:p>
    <w:p>
      <w:pPr>
        <w:ind w:firstLine="420" w:firstLineChars="200"/>
        <w:rPr>
          <w:szCs w:val="21"/>
        </w:rPr>
      </w:pPr>
      <w:r>
        <w:rPr>
          <w:rFonts w:hint="eastAsia"/>
          <w:szCs w:val="21"/>
        </w:rPr>
        <w:t>[CFDAB/T 0102.2-2014，定义2.33]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医用耗材注册证</w:t>
      </w:r>
      <w:r>
        <w:rPr>
          <w:rFonts w:hint="eastAsia"/>
          <w:szCs w:val="21"/>
        </w:rPr>
        <w:tab/>
      </w:r>
      <w:r>
        <w:rPr>
          <w:rFonts w:hint="eastAsia"/>
          <w:szCs w:val="21"/>
        </w:rPr>
        <w:t>medical supplies registration certificate</w:t>
      </w:r>
    </w:p>
    <w:p>
      <w:pPr>
        <w:ind w:firstLine="420" w:firstLineChars="200"/>
        <w:rPr>
          <w:szCs w:val="21"/>
        </w:rPr>
      </w:pPr>
      <w:r>
        <w:rPr>
          <w:rFonts w:hint="eastAsia"/>
          <w:szCs w:val="21"/>
        </w:rPr>
        <w:t>食品药品监管部门依法批准的医用耗材产品上市销售和使用的证明文件。</w:t>
      </w:r>
    </w:p>
    <w:p>
      <w:pPr>
        <w:ind w:firstLine="420" w:firstLineChars="200"/>
        <w:rPr>
          <w:szCs w:val="21"/>
        </w:rPr>
      </w:pPr>
      <w:r>
        <w:rPr>
          <w:rFonts w:hint="eastAsia"/>
          <w:szCs w:val="21"/>
        </w:rPr>
        <w:t>[CFDAB/T 0102.2-2014，定义2.34]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管理类别  management categories</w:t>
      </w:r>
    </w:p>
    <w:p>
      <w:pPr>
        <w:ind w:firstLine="420" w:firstLineChars="200"/>
        <w:rPr>
          <w:szCs w:val="21"/>
        </w:rPr>
      </w:pPr>
      <w:r>
        <w:rPr>
          <w:rFonts w:hint="eastAsia"/>
          <w:szCs w:val="21"/>
        </w:rPr>
        <w:t>《医疗器械监督管理条例》明确的医疗器械产品分类。</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招标模式  bidding model</w:t>
      </w:r>
    </w:p>
    <w:p>
      <w:pPr>
        <w:ind w:firstLine="420" w:firstLineChars="200"/>
        <w:rPr>
          <w:szCs w:val="21"/>
        </w:rPr>
      </w:pPr>
      <w:r>
        <w:rPr>
          <w:rFonts w:hint="eastAsia"/>
          <w:szCs w:val="21"/>
        </w:rPr>
        <w:t>招标活动具体的开展形式，不同的招标模式会有不同的活动过程。</w:t>
      </w:r>
    </w:p>
    <w:p>
      <w:pPr>
        <w:ind w:firstLine="420" w:firstLineChars="200"/>
        <w:rPr>
          <w:szCs w:val="21"/>
        </w:rPr>
      </w:pPr>
      <w:r>
        <w:rPr>
          <w:rFonts w:hint="eastAsia"/>
          <w:szCs w:val="21"/>
        </w:rPr>
        <w:t>注：招标模式包括带量采购、谈判、竞价等。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带量采购  with quantity purchase</w:t>
      </w:r>
    </w:p>
    <w:p>
      <w:pPr>
        <w:ind w:firstLine="420" w:firstLineChars="200"/>
        <w:rPr>
          <w:szCs w:val="21"/>
        </w:rPr>
      </w:pPr>
      <w:r>
        <w:rPr>
          <w:rFonts w:hint="eastAsia"/>
          <w:szCs w:val="21"/>
        </w:rPr>
        <w:t>确定了药品采购品种（指定规格）和约定具体采购数量的招标模式。</w:t>
      </w:r>
    </w:p>
    <w:p>
      <w:pPr>
        <w:ind w:firstLine="420" w:firstLineChars="200"/>
        <w:rPr>
          <w:szCs w:val="21"/>
        </w:rPr>
      </w:pPr>
    </w:p>
    <w:p>
      <w:pPr>
        <w:numPr>
          <w:ilvl w:val="0"/>
          <w:numId w:val="3"/>
        </w:numPr>
        <w:ind w:firstLine="420" w:firstLineChars="200"/>
        <w:rPr>
          <w:szCs w:val="21"/>
        </w:rPr>
      </w:pPr>
      <w:r>
        <w:rPr>
          <w:rFonts w:hint="eastAsia"/>
          <w:szCs w:val="21"/>
        </w:rPr>
        <w:t>竞价  Price competition</w:t>
      </w:r>
    </w:p>
    <w:p>
      <w:pPr>
        <w:ind w:firstLine="420" w:firstLineChars="200"/>
        <w:rPr>
          <w:szCs w:val="21"/>
        </w:rPr>
      </w:pPr>
      <w:r>
        <w:rPr>
          <w:rFonts w:hint="eastAsia"/>
          <w:szCs w:val="21"/>
        </w:rPr>
        <w:t>竞价是由报名企业进行报价，经过多轮的排名确定入选产品，并进行公示公布的过程。</w:t>
      </w:r>
    </w:p>
    <w:p>
      <w:pPr>
        <w:ind w:firstLine="420" w:firstLineChars="200"/>
        <w:rPr>
          <w:szCs w:val="21"/>
        </w:rPr>
      </w:pPr>
    </w:p>
    <w:p>
      <w:pPr>
        <w:numPr>
          <w:ilvl w:val="0"/>
          <w:numId w:val="3"/>
        </w:numPr>
        <w:ind w:firstLine="420" w:firstLineChars="200"/>
        <w:rPr>
          <w:szCs w:val="21"/>
        </w:rPr>
      </w:pPr>
      <w:r>
        <w:rPr>
          <w:rFonts w:hint="eastAsia"/>
          <w:szCs w:val="21"/>
        </w:rPr>
        <w:t>谈判  Price negotiations</w:t>
      </w:r>
    </w:p>
    <w:p>
      <w:pPr>
        <w:ind w:firstLine="420" w:firstLineChars="200"/>
        <w:rPr>
          <w:szCs w:val="21"/>
        </w:rPr>
      </w:pPr>
      <w:r>
        <w:rPr>
          <w:rFonts w:hint="eastAsia"/>
          <w:szCs w:val="21"/>
        </w:rPr>
        <w:t>谈判是指在规定的谈判轮次内，双方进行价格磋商，直到轮次结束，确定最终入选产品的过程。</w:t>
      </w:r>
    </w:p>
    <w:p>
      <w:pPr>
        <w:ind w:firstLine="420" w:firstLineChars="200"/>
        <w:rPr>
          <w:szCs w:val="21"/>
        </w:rPr>
      </w:pPr>
    </w:p>
    <w:p>
      <w:pPr>
        <w:numPr>
          <w:ilvl w:val="0"/>
          <w:numId w:val="3"/>
        </w:numPr>
        <w:ind w:firstLine="420" w:firstLineChars="200"/>
        <w:rPr>
          <w:szCs w:val="21"/>
        </w:rPr>
      </w:pPr>
      <w:r>
        <w:rPr>
          <w:rFonts w:hint="eastAsia"/>
          <w:szCs w:val="21"/>
        </w:rPr>
        <w:t>招标目录  Bidding catalogue</w:t>
      </w:r>
    </w:p>
    <w:p>
      <w:pPr>
        <w:ind w:firstLine="420" w:firstLineChars="200"/>
        <w:rPr>
          <w:szCs w:val="21"/>
        </w:rPr>
      </w:pPr>
      <w:r>
        <w:rPr>
          <w:rFonts w:hint="eastAsia"/>
          <w:szCs w:val="21"/>
        </w:rPr>
        <w:t>开展招采业务时指定的具体药品或者耗材的目录范围。</w:t>
      </w:r>
    </w:p>
    <w:p>
      <w:pPr>
        <w:ind w:firstLine="420" w:firstLineChars="200"/>
        <w:rPr>
          <w:szCs w:val="21"/>
        </w:rPr>
      </w:pPr>
    </w:p>
    <w:p>
      <w:pPr>
        <w:numPr>
          <w:ilvl w:val="0"/>
          <w:numId w:val="3"/>
        </w:numPr>
        <w:ind w:firstLine="420" w:firstLineChars="200"/>
        <w:rPr>
          <w:szCs w:val="21"/>
        </w:rPr>
      </w:pPr>
      <w:r>
        <w:rPr>
          <w:rFonts w:hint="eastAsia"/>
          <w:szCs w:val="21"/>
        </w:rPr>
        <w:t>产品分组  Product grouping</w:t>
      </w:r>
    </w:p>
    <w:p>
      <w:pPr>
        <w:ind w:firstLine="420" w:firstLineChars="200"/>
        <w:rPr>
          <w:szCs w:val="21"/>
        </w:rPr>
      </w:pPr>
      <w:r>
        <w:rPr>
          <w:rFonts w:hint="eastAsia"/>
          <w:szCs w:val="21"/>
        </w:rPr>
        <w:t>将药品按照一定标准进行分组，以便后续在竞价中进行同组内药品的差比价计算。</w:t>
      </w:r>
    </w:p>
    <w:p>
      <w:pPr>
        <w:ind w:firstLine="420" w:firstLineChars="200"/>
        <w:rPr>
          <w:szCs w:val="21"/>
        </w:rPr>
      </w:pPr>
    </w:p>
    <w:p>
      <w:pPr>
        <w:numPr>
          <w:ilvl w:val="0"/>
          <w:numId w:val="3"/>
        </w:numPr>
        <w:ind w:firstLine="420" w:firstLineChars="200"/>
        <w:rPr>
          <w:szCs w:val="21"/>
        </w:rPr>
      </w:pPr>
      <w:r>
        <w:rPr>
          <w:rFonts w:hint="eastAsia"/>
          <w:szCs w:val="21"/>
        </w:rPr>
        <w:t>药品差比价  price difference</w:t>
      </w:r>
    </w:p>
    <w:p>
      <w:pPr>
        <w:ind w:firstLine="420" w:firstLineChars="200"/>
        <w:rPr>
          <w:szCs w:val="21"/>
        </w:rPr>
      </w:pPr>
      <w:r>
        <w:rPr>
          <w:rFonts w:hint="eastAsia"/>
          <w:szCs w:val="21"/>
        </w:rPr>
        <w:t>指同种药品因剂型、规格或包装材料的不同而形成的价格之间的差额或比值。</w:t>
      </w:r>
    </w:p>
    <w:p>
      <w:pPr>
        <w:ind w:firstLine="420" w:firstLineChars="200"/>
        <w:rPr>
          <w:szCs w:val="21"/>
        </w:rPr>
      </w:pPr>
      <w:r>
        <w:rPr>
          <w:rFonts w:hint="eastAsia"/>
          <w:szCs w:val="21"/>
        </w:rPr>
        <w:t>[国家发展改革委关于印发《药品差比价规则》的通知，发改价格（2011）2452号]</w:t>
      </w:r>
    </w:p>
    <w:p>
      <w:pPr>
        <w:ind w:firstLine="420" w:firstLineChars="200"/>
        <w:rPr>
          <w:szCs w:val="21"/>
        </w:rPr>
      </w:pPr>
    </w:p>
    <w:p>
      <w:pPr>
        <w:numPr>
          <w:ilvl w:val="0"/>
          <w:numId w:val="3"/>
        </w:numPr>
        <w:ind w:firstLine="420" w:firstLineChars="200"/>
        <w:rPr>
          <w:szCs w:val="21"/>
        </w:rPr>
      </w:pPr>
      <w:r>
        <w:rPr>
          <w:rFonts w:hint="eastAsia"/>
          <w:szCs w:val="21"/>
        </w:rPr>
        <w:t>报价限价  The Limit Of Price</w:t>
      </w:r>
    </w:p>
    <w:p>
      <w:pPr>
        <w:ind w:firstLine="420" w:firstLineChars="200"/>
        <w:rPr>
          <w:szCs w:val="21"/>
        </w:rPr>
      </w:pPr>
      <w:r>
        <w:rPr>
          <w:rFonts w:hint="eastAsia"/>
          <w:szCs w:val="21"/>
        </w:rPr>
        <w:t>针对企业申报的产品所制订的最高报价上限，企业在自主报价时，不能高于此价格。</w:t>
      </w:r>
    </w:p>
    <w:p>
      <w:pPr>
        <w:ind w:firstLine="420" w:firstLineChars="200"/>
        <w:rPr>
          <w:szCs w:val="21"/>
        </w:rPr>
      </w:pPr>
    </w:p>
    <w:p>
      <w:pPr>
        <w:numPr>
          <w:ilvl w:val="0"/>
          <w:numId w:val="3"/>
        </w:numPr>
        <w:ind w:firstLine="420" w:firstLineChars="200"/>
        <w:rPr>
          <w:szCs w:val="21"/>
        </w:rPr>
      </w:pPr>
      <w:r>
        <w:rPr>
          <w:rFonts w:hint="eastAsia"/>
          <w:szCs w:val="21"/>
        </w:rPr>
        <w:t>结算账户  Settlement Account</w:t>
      </w:r>
    </w:p>
    <w:p>
      <w:pPr>
        <w:ind w:firstLine="420" w:firstLineChars="200"/>
        <w:rPr>
          <w:szCs w:val="21"/>
        </w:rPr>
      </w:pPr>
      <w:r>
        <w:rPr>
          <w:rFonts w:hint="eastAsia"/>
          <w:szCs w:val="21"/>
        </w:rPr>
        <w:t>指配送企业用于结算药品和医用耗材货款的特定银行账户。</w:t>
      </w:r>
    </w:p>
    <w:p>
      <w:pPr>
        <w:ind w:firstLine="420" w:firstLineChars="200"/>
        <w:rPr>
          <w:szCs w:val="21"/>
        </w:rPr>
      </w:pPr>
    </w:p>
    <w:p>
      <w:pPr>
        <w:numPr>
          <w:ilvl w:val="0"/>
          <w:numId w:val="3"/>
        </w:numPr>
        <w:ind w:firstLine="420" w:firstLineChars="200"/>
        <w:rPr>
          <w:szCs w:val="21"/>
        </w:rPr>
      </w:pPr>
      <w:r>
        <w:rPr>
          <w:rFonts w:hint="eastAsia"/>
          <w:szCs w:val="21"/>
        </w:rPr>
        <w:t>销售发票(第一票)  First Invoice</w:t>
      </w:r>
    </w:p>
    <w:p>
      <w:pPr>
        <w:ind w:firstLine="420" w:firstLineChars="200"/>
        <w:rPr>
          <w:szCs w:val="21"/>
        </w:rPr>
      </w:pPr>
      <w:r>
        <w:rPr>
          <w:rFonts w:hint="eastAsia"/>
          <w:szCs w:val="21"/>
        </w:rPr>
        <w:t>指生产/代理企业将药品/医用耗材销售给配送企业时产生的发票。</w:t>
      </w:r>
    </w:p>
    <w:p>
      <w:pPr>
        <w:ind w:firstLine="420" w:firstLineChars="200"/>
        <w:rPr>
          <w:szCs w:val="21"/>
        </w:rPr>
      </w:pPr>
    </w:p>
    <w:p>
      <w:pPr>
        <w:numPr>
          <w:ilvl w:val="0"/>
          <w:numId w:val="3"/>
        </w:numPr>
        <w:ind w:firstLine="420" w:firstLineChars="200"/>
        <w:rPr>
          <w:szCs w:val="21"/>
        </w:rPr>
      </w:pPr>
      <w:r>
        <w:rPr>
          <w:rFonts w:hint="eastAsia"/>
          <w:szCs w:val="21"/>
        </w:rPr>
        <w:t>销售发票(第二票)  Second Invoice</w:t>
      </w:r>
    </w:p>
    <w:p>
      <w:pPr>
        <w:ind w:firstLine="420" w:firstLineChars="200"/>
        <w:rPr>
          <w:szCs w:val="21"/>
        </w:rPr>
      </w:pPr>
      <w:r>
        <w:rPr>
          <w:rFonts w:hint="eastAsia"/>
          <w:szCs w:val="21"/>
        </w:rPr>
        <w:t>指配送企业将药品/医用耗材销售给医疗机构时产生的发票。</w:t>
      </w:r>
    </w:p>
    <w:p>
      <w:pPr>
        <w:ind w:firstLine="420" w:firstLineChars="200"/>
        <w:rPr>
          <w:szCs w:val="21"/>
        </w:rPr>
      </w:pPr>
    </w:p>
    <w:p>
      <w:pPr>
        <w:numPr>
          <w:ilvl w:val="0"/>
          <w:numId w:val="3"/>
        </w:numPr>
        <w:ind w:firstLine="420" w:firstLineChars="200"/>
        <w:rPr>
          <w:szCs w:val="21"/>
        </w:rPr>
      </w:pPr>
      <w:r>
        <w:rPr>
          <w:rFonts w:hint="eastAsia"/>
          <w:szCs w:val="21"/>
        </w:rPr>
        <w:t>消退发票  The Return Invoice</w:t>
      </w:r>
    </w:p>
    <w:p>
      <w:pPr>
        <w:ind w:firstLine="420" w:firstLineChars="200"/>
        <w:rPr>
          <w:szCs w:val="21"/>
        </w:rPr>
      </w:pPr>
      <w:r>
        <w:rPr>
          <w:rFonts w:hint="eastAsia"/>
          <w:szCs w:val="21"/>
        </w:rPr>
        <w:t>指医疗机构与配送企业对交易完成的药品/医用耗材进行退货时配送企业开具的退货发票。</w:t>
      </w:r>
    </w:p>
    <w:p>
      <w:pPr>
        <w:ind w:firstLine="420" w:firstLineChars="200"/>
        <w:rPr>
          <w:szCs w:val="21"/>
        </w:rPr>
      </w:pPr>
    </w:p>
    <w:p>
      <w:pPr>
        <w:numPr>
          <w:ilvl w:val="0"/>
          <w:numId w:val="3"/>
        </w:numPr>
        <w:ind w:firstLine="420" w:firstLineChars="200"/>
        <w:rPr>
          <w:szCs w:val="21"/>
        </w:rPr>
      </w:pPr>
      <w:r>
        <w:rPr>
          <w:rFonts w:hint="eastAsia"/>
          <w:szCs w:val="21"/>
        </w:rPr>
        <w:t>结算方式  Settlement Method</w:t>
      </w:r>
    </w:p>
    <w:p>
      <w:pPr>
        <w:ind w:firstLine="420" w:firstLineChars="200"/>
        <w:rPr>
          <w:szCs w:val="21"/>
        </w:rPr>
      </w:pPr>
      <w:r>
        <w:rPr>
          <w:rFonts w:hint="eastAsia"/>
          <w:szCs w:val="21"/>
        </w:rPr>
        <w:t>结算药品/医用耗材的采购金额，并且制定支付结算金额的具体方式，包含医疗机构自行付款、医疗机构委托银行代为扣款支付的两种方式。</w:t>
      </w:r>
    </w:p>
    <w:p>
      <w:pPr>
        <w:pStyle w:val="17"/>
        <w:tabs>
          <w:tab w:val="left" w:pos="0"/>
        </w:tabs>
        <w:ind w:firstLine="420" w:firstLineChars="200"/>
        <w:rPr>
          <w:sz w:val="21"/>
          <w:szCs w:val="21"/>
        </w:rPr>
      </w:pPr>
      <w:r>
        <w:rPr>
          <w:rFonts w:hint="eastAsia"/>
          <w:sz w:val="21"/>
          <w:szCs w:val="21"/>
        </w:rPr>
        <w:t>注：结算方式包含医疗机构自行付款、医疗机构委托银行代为扣款的支付方式。</w:t>
      </w:r>
    </w:p>
    <w:p>
      <w:pPr>
        <w:ind w:firstLine="420" w:firstLineChars="200"/>
        <w:rPr>
          <w:szCs w:val="21"/>
        </w:rPr>
      </w:pPr>
    </w:p>
    <w:p>
      <w:pPr>
        <w:numPr>
          <w:ilvl w:val="0"/>
          <w:numId w:val="3"/>
        </w:numPr>
        <w:ind w:firstLine="420" w:firstLineChars="200"/>
        <w:rPr>
          <w:szCs w:val="21"/>
        </w:rPr>
      </w:pPr>
      <w:r>
        <w:rPr>
          <w:rFonts w:hint="eastAsia"/>
          <w:szCs w:val="21"/>
        </w:rPr>
        <w:t>结算单  Account Statement</w:t>
      </w:r>
    </w:p>
    <w:p>
      <w:pPr>
        <w:ind w:firstLine="420" w:firstLineChars="200"/>
        <w:rPr>
          <w:szCs w:val="21"/>
        </w:rPr>
      </w:pPr>
      <w:r>
        <w:rPr>
          <w:rFonts w:hint="eastAsia"/>
          <w:szCs w:val="21"/>
        </w:rPr>
        <w:t>地方医保局已经复核过的结算明细汇总生成的单据，包含结算总额、结算账期等信息，可用于生成支付单进行支付。</w:t>
      </w:r>
    </w:p>
    <w:p>
      <w:pPr>
        <w:ind w:firstLine="420" w:firstLineChars="200"/>
        <w:rPr>
          <w:szCs w:val="21"/>
        </w:rPr>
      </w:pPr>
    </w:p>
    <w:p>
      <w:pPr>
        <w:numPr>
          <w:ilvl w:val="0"/>
          <w:numId w:val="3"/>
        </w:numPr>
        <w:ind w:firstLine="420" w:firstLineChars="200"/>
        <w:rPr>
          <w:szCs w:val="21"/>
        </w:rPr>
      </w:pPr>
      <w:r>
        <w:rPr>
          <w:rFonts w:hint="eastAsia"/>
          <w:szCs w:val="21"/>
        </w:rPr>
        <w:t>支付单  Payment List</w:t>
      </w:r>
    </w:p>
    <w:p>
      <w:r>
        <w:rPr>
          <w:rFonts w:hint="eastAsia"/>
          <w:szCs w:val="21"/>
        </w:rPr>
        <w:t>地方医保局复核通过的所有支付明细，按医疗机构和配送企业关系汇总生成的支付单据，用于向配送企业支付货款。</w:t>
      </w:r>
    </w:p>
    <w:p>
      <w:pPr>
        <w:pStyle w:val="35"/>
      </w:pPr>
      <w:bookmarkStart w:id="23" w:name="_Toc520799913"/>
      <w:bookmarkStart w:id="24" w:name="_Toc35435024"/>
      <w:bookmarkStart w:id="25" w:name="_Toc34402698"/>
      <w:bookmarkStart w:id="26" w:name="_Toc22029"/>
      <w:r>
        <w:rPr>
          <w:rFonts w:hint="eastAsia"/>
        </w:rPr>
        <w:t xml:space="preserve"> </w:t>
      </w:r>
      <w:bookmarkStart w:id="27" w:name="_Toc39353695"/>
      <w:bookmarkStart w:id="28" w:name="_Toc1478600677"/>
      <w:r>
        <w:rPr>
          <w:rFonts w:hint="eastAsia"/>
        </w:rPr>
        <w:t>参考资料</w:t>
      </w:r>
      <w:bookmarkEnd w:id="23"/>
      <w:bookmarkEnd w:id="24"/>
      <w:bookmarkEnd w:id="25"/>
      <w:bookmarkEnd w:id="26"/>
      <w:bookmarkEnd w:id="27"/>
      <w:bookmarkEnd w:id="28"/>
    </w:p>
    <w:p>
      <w:pPr>
        <w:pStyle w:val="19"/>
        <w:spacing w:after="0"/>
        <w:ind w:left="420" w:leftChars="200" w:firstLine="0" w:firstLineChars="0"/>
        <w:rPr>
          <w:rFonts w:ascii="宋体" w:hAnsi="宋体"/>
          <w:szCs w:val="21"/>
        </w:rPr>
      </w:pPr>
      <w:r>
        <w:rPr>
          <w:rFonts w:ascii="宋体" w:hAnsi="宋体"/>
          <w:szCs w:val="21"/>
        </w:rPr>
        <w:t>1、</w:t>
      </w:r>
      <w:r>
        <w:rPr>
          <w:rFonts w:hint="eastAsia" w:ascii="宋体" w:hAnsi="宋体"/>
          <w:szCs w:val="21"/>
        </w:rPr>
        <w:t>《文档标准编制规范》</w:t>
      </w:r>
    </w:p>
    <w:p>
      <w:pPr>
        <w:ind w:firstLine="420" w:firstLineChars="200"/>
        <w:rPr>
          <w:szCs w:val="21"/>
        </w:rPr>
      </w:pPr>
      <w:r>
        <w:rPr>
          <w:szCs w:val="21"/>
        </w:rPr>
        <w:t>2、《药品和医用耗材招采管理子系统需求规格说明书》</w:t>
      </w:r>
    </w:p>
    <w:p>
      <w:pPr>
        <w:pStyle w:val="32"/>
      </w:pPr>
      <w:bookmarkStart w:id="29" w:name="_Toc828752122"/>
      <w:r>
        <w:rPr>
          <w:rFonts w:hint="eastAsia"/>
          <w:lang w:val="en-US" w:eastAsia="zh-CN"/>
        </w:rPr>
        <w:t>生产（代理）企业</w:t>
      </w:r>
      <w:bookmarkEnd w:id="29"/>
    </w:p>
    <w:p>
      <w:pPr>
        <w:pStyle w:val="35"/>
        <w:keepNext/>
      </w:pPr>
      <w:bookmarkStart w:id="30" w:name="_Toc662694906"/>
      <w:r>
        <w:rPr>
          <w:rFonts w:hint="eastAsia"/>
        </w:rPr>
        <w:t>耗材交易结算</w:t>
      </w:r>
      <w:bookmarkEnd w:id="30"/>
    </w:p>
    <w:p>
      <w:pPr>
        <w:pStyle w:val="38"/>
        <w:keepNext/>
      </w:pPr>
      <w:bookmarkStart w:id="31" w:name="_Toc832368865"/>
      <w:r>
        <w:rPr>
          <w:rFonts w:hint="eastAsia"/>
          <w:lang w:val="en-US" w:eastAsia="zh-CN"/>
        </w:rPr>
        <w:t>联动价格填报</w:t>
      </w:r>
      <w:bookmarkEnd w:id="31"/>
    </w:p>
    <w:p>
      <w:pPr>
        <w:pStyle w:val="39"/>
      </w:pPr>
      <w:r>
        <w:rPr>
          <w:rFonts w:hint="eastAsia"/>
          <w:lang w:val="en-US" w:eastAsia="zh-CN"/>
        </w:rPr>
        <w:t>联动价格填报</w:t>
      </w:r>
    </w:p>
    <w:p>
      <w:pPr>
        <w:pStyle w:val="6"/>
      </w:pPr>
      <w:r>
        <w:rPr>
          <w:rFonts w:hint="eastAsia"/>
        </w:rPr>
        <w:t>功能描述</w:t>
      </w:r>
    </w:p>
    <w:p>
      <w:pPr>
        <w:ind w:firstLine="420" w:firstLineChars="200"/>
        <w:rPr>
          <w:rFonts w:hint="default"/>
          <w:lang w:val="en-US"/>
        </w:rPr>
      </w:pPr>
      <w:r>
        <w:rPr>
          <w:rFonts w:hint="eastAsia"/>
          <w:lang w:val="en-US" w:eastAsia="zh-CN"/>
        </w:rPr>
        <w:t>生产（代理）企业可对耗材的联动价格进行填报，可填写联动价格（元）、该价格来源省份、备注等信息。填写完成后，可点击保存，则保存在本地。如点击提交，则提交到医保端进行审核。</w:t>
      </w:r>
    </w:p>
    <w:p>
      <w:pPr>
        <w:pStyle w:val="6"/>
      </w:pPr>
      <w:r>
        <w:rPr>
          <w:rFonts w:hint="eastAsia"/>
        </w:rPr>
        <w:t>操作权限</w:t>
      </w:r>
    </w:p>
    <w:p>
      <w:pPr>
        <w:ind w:firstLine="420" w:firstLineChars="200"/>
        <w:rPr>
          <w:rFonts w:hint="eastAsia" w:eastAsia="宋体"/>
          <w:lang w:val="en-US" w:eastAsia="zh-CN"/>
        </w:rPr>
      </w:pPr>
      <w:r>
        <w:rPr>
          <w:rFonts w:hint="eastAsia"/>
          <w:lang w:val="en-US" w:eastAsia="zh-CN"/>
        </w:rPr>
        <w:t>生产（代理）企业</w:t>
      </w:r>
      <w:r>
        <w:rPr>
          <w:rFonts w:hint="eastAsia"/>
        </w:rPr>
        <w:t>：</w:t>
      </w:r>
      <w:r>
        <w:rPr>
          <w:rFonts w:hint="eastAsia"/>
          <w:lang w:val="en-US" w:eastAsia="zh-CN"/>
        </w:rPr>
        <w:t>联动价格填报</w:t>
      </w:r>
    </w:p>
    <w:p>
      <w:pPr>
        <w:pStyle w:val="6"/>
      </w:pPr>
      <w:r>
        <w:rPr>
          <w:rFonts w:hint="eastAsia"/>
        </w:rPr>
        <w:t>操作流程</w:t>
      </w:r>
    </w:p>
    <w:p>
      <w:pPr>
        <w:ind w:firstLine="420" w:firstLineChars="200"/>
        <w:rPr>
          <w:rFonts w:hint="default"/>
          <w:lang w:val="en-US"/>
        </w:rPr>
      </w:pPr>
      <w:r>
        <w:rPr>
          <w:rFonts w:hint="eastAsia"/>
          <w:lang w:val="en-US" w:eastAsia="zh-CN"/>
        </w:rPr>
        <w:t>生产（代理）企业可在“联动价格填报”页面进行填报，可填写联动价格（元）、该价格来源省份、备注等信息</w:t>
      </w:r>
      <w:bookmarkStart w:id="32" w:name="_GoBack"/>
      <w:bookmarkEnd w:id="32"/>
      <w:r>
        <w:rPr>
          <w:rFonts w:hint="eastAsia"/>
          <w:lang w:val="en-US" w:eastAsia="zh-CN"/>
        </w:rPr>
        <w:t>。填写完成后，可点击保存，则保存在本地。如点击提交，则提交到医保端进行审核。</w:t>
      </w:r>
    </w:p>
    <w:p>
      <w:r>
        <w:drawing>
          <wp:inline distT="0" distB="0" distL="114300" distR="114300">
            <wp:extent cx="5271770" cy="2284730"/>
            <wp:effectExtent l="0" t="0" r="5080" b="127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5271770" cy="2284730"/>
                    </a:xfrm>
                    <a:prstGeom prst="rect">
                      <a:avLst/>
                    </a:prstGeom>
                    <a:noFill/>
                    <a:ln>
                      <a:noFill/>
                    </a:ln>
                  </pic:spPr>
                </pic:pic>
              </a:graphicData>
            </a:graphic>
          </wp:inline>
        </w:drawing>
      </w:r>
    </w:p>
    <w:p>
      <w:pPr>
        <w:jc w:val="center"/>
        <w:rPr>
          <w:rFonts w:hint="default" w:eastAsia="宋体"/>
          <w:lang w:val="en-US" w:eastAsia="zh-CN"/>
        </w:rPr>
      </w:pPr>
      <w:r>
        <w:rPr>
          <w:rFonts w:hint="eastAsia"/>
          <w:lang w:val="en-US" w:eastAsia="zh-CN"/>
        </w:rPr>
        <w:t>联动价格填报</w:t>
      </w:r>
    </w:p>
    <w:p>
      <w:pPr>
        <w:jc w:val="center"/>
        <w:rPr>
          <w:rFonts w:hint="eastAsia"/>
        </w:rPr>
      </w:pPr>
    </w:p>
    <w:p>
      <w:pPr>
        <w:pStyle w:val="6"/>
      </w:pPr>
      <w:r>
        <w:rPr>
          <w:rFonts w:hint="eastAsia"/>
        </w:rPr>
        <w:t>注意事项</w:t>
      </w:r>
    </w:p>
    <w:p>
      <w:pPr>
        <w:ind w:firstLine="420" w:firstLineChars="200"/>
        <w:rPr>
          <w:rFonts w:hint="eastAsia" w:eastAsia="宋体"/>
          <w:lang w:val="en-US" w:eastAsia="zh-CN"/>
        </w:rPr>
      </w:pPr>
      <w:r>
        <w:rPr>
          <w:rFonts w:hint="eastAsia"/>
          <w:lang w:val="en-US" w:eastAsia="zh-CN"/>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imbus Roman No9 L">
    <w:panose1 w:val="00000000000000000000"/>
    <w:charset w:val="00"/>
    <w:family w:val="auto"/>
    <w:pitch w:val="default"/>
    <w:sig w:usb0="00000000" w:usb1="00000000" w:usb2="00000000" w:usb3="00000000" w:csb0="0000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Light">
    <w:altName w:val="文泉驿微米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VIII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373E4"/>
    <w:multiLevelType w:val="singleLevel"/>
    <w:tmpl w:val="D4C373E4"/>
    <w:lvl w:ilvl="0" w:tentative="0">
      <w:start w:val="1"/>
      <w:numFmt w:val="decimal"/>
      <w:suff w:val="space"/>
      <w:lvlText w:val="（%1）"/>
      <w:lvlJc w:val="left"/>
    </w:lvl>
  </w:abstractNum>
  <w:abstractNum w:abstractNumId="1">
    <w:nsid w:val="1BCE7768"/>
    <w:multiLevelType w:val="multilevel"/>
    <w:tmpl w:val="1BCE7768"/>
    <w:lvl w:ilvl="0" w:tentative="0">
      <w:start w:val="1"/>
      <w:numFmt w:val="decimal"/>
      <w:lvlText w:val="%1"/>
      <w:lvlJc w:val="left"/>
      <w:pPr>
        <w:tabs>
          <w:tab w:val="left" w:pos="432"/>
        </w:tabs>
        <w:ind w:left="0" w:firstLine="0"/>
      </w:pPr>
      <w:rPr>
        <w:rFonts w:hint="eastAsia"/>
        <w:color w:val="auto"/>
      </w:rPr>
    </w:lvl>
    <w:lvl w:ilvl="1" w:tentative="0">
      <w:start w:val="1"/>
      <w:numFmt w:val="decimal"/>
      <w:pStyle w:val="43"/>
      <w:lvlText w:val="%1.%2"/>
      <w:lvlJc w:val="left"/>
      <w:pPr>
        <w:tabs>
          <w:tab w:val="left" w:pos="432"/>
        </w:tabs>
        <w:ind w:left="0" w:firstLine="0"/>
      </w:pPr>
      <w:rPr>
        <w:rFonts w:hint="eastAsia" w:ascii="黑体" w:hAnsi="黑体" w:eastAsia="黑体"/>
        <w:b w:val="0"/>
        <w:lang w:val="en-US"/>
      </w:rPr>
    </w:lvl>
    <w:lvl w:ilvl="2" w:tentative="0">
      <w:start w:val="1"/>
      <w:numFmt w:val="decimal"/>
      <w:lvlText w:val="%1.%2.%3"/>
      <w:lvlJc w:val="left"/>
      <w:pPr>
        <w:tabs>
          <w:tab w:val="left" w:pos="432"/>
        </w:tabs>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432"/>
        </w:tabs>
        <w:ind w:left="0" w:firstLine="0"/>
      </w:pPr>
      <w:rPr>
        <w:rFonts w:hint="eastAsia"/>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2">
    <w:nsid w:val="4C5FFC37"/>
    <w:multiLevelType w:val="multilevel"/>
    <w:tmpl w:val="4C5FFC37"/>
    <w:lvl w:ilvl="0" w:tentative="0">
      <w:start w:val="1"/>
      <w:numFmt w:val="decimal"/>
      <w:pStyle w:val="32"/>
      <w:suff w:val="space"/>
      <w:lvlText w:val="第 %1 章"/>
      <w:lvlJc w:val="left"/>
      <w:pPr>
        <w:ind w:left="1134" w:hanging="1134"/>
      </w:pPr>
      <w:rPr>
        <w:rFonts w:hint="eastAsia" w:ascii="宋体" w:hAnsi="宋体" w:eastAsia="宋体"/>
      </w:rPr>
    </w:lvl>
    <w:lvl w:ilvl="1" w:tentative="0">
      <w:start w:val="1"/>
      <w:numFmt w:val="decimal"/>
      <w:pStyle w:val="35"/>
      <w:suff w:val="space"/>
      <w:lvlText w:val="%1.%2"/>
      <w:lvlJc w:val="left"/>
      <w:rPr>
        <w:b/>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38"/>
      <w:suff w:val="space"/>
      <w:lvlText w:val="%1.%2.%3"/>
      <w:lvlJc w:val="left"/>
      <w:pPr>
        <w:ind w:left="1134" w:hanging="1134"/>
      </w:pPr>
      <w:rPr>
        <w:rFonts w:hint="eastAsia" w:ascii="宋体" w:hAnsi="宋体" w:eastAsia="宋体"/>
        <w:sz w:val="24"/>
        <w:szCs w:val="24"/>
      </w:rPr>
    </w:lvl>
    <w:lvl w:ilvl="3" w:tentative="0">
      <w:start w:val="1"/>
      <w:numFmt w:val="decimal"/>
      <w:pStyle w:val="39"/>
      <w:suff w:val="space"/>
      <w:lvlText w:val="%1.%2.%3.%4"/>
      <w:lvlJc w:val="left"/>
      <w:pPr>
        <w:ind w:left="1134" w:hanging="1134"/>
      </w:pPr>
      <w:rPr>
        <w:rFonts w:hint="default" w:ascii="Arial" w:hAnsi="Arial" w:eastAsia="宋体" w:cs="Arial"/>
      </w:rPr>
    </w:lvl>
    <w:lvl w:ilvl="4" w:tentative="0">
      <w:start w:val="1"/>
      <w:numFmt w:val="decimal"/>
      <w:pStyle w:val="6"/>
      <w:lvlText w:val="%1.%2.%3.%4.%5"/>
      <w:lvlJc w:val="left"/>
      <w:pPr>
        <w:tabs>
          <w:tab w:val="left" w:pos="1008"/>
        </w:tabs>
        <w:ind w:left="1008" w:hanging="1008"/>
      </w:pPr>
      <w:rPr>
        <w:rFonts w:hint="default" w:ascii="Arial" w:hAnsi="Arial" w:cs="Arial"/>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30"/>
      <w:lvlText w:val="%1.%2.%3.%4.%5.%6.%7"/>
      <w:lvlJc w:val="left"/>
      <w:pPr>
        <w:tabs>
          <w:tab w:val="left" w:pos="1296"/>
        </w:tabs>
        <w:ind w:left="1296" w:hanging="1296"/>
      </w:pPr>
      <w:rPr>
        <w:rFonts w:hint="eastAsia"/>
      </w:rPr>
    </w:lvl>
    <w:lvl w:ilvl="7" w:tentative="0">
      <w:start w:val="1"/>
      <w:numFmt w:val="decimal"/>
      <w:pStyle w:val="31"/>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NzVjY2Q4NGNhZjI3OTFhMTRjMWVmMTczNmY1ZTcifQ=="/>
  </w:docVars>
  <w:rsids>
    <w:rsidRoot w:val="00103181"/>
    <w:rsid w:val="00103181"/>
    <w:rsid w:val="001A4A65"/>
    <w:rsid w:val="001C3D4A"/>
    <w:rsid w:val="001E33E4"/>
    <w:rsid w:val="002345BF"/>
    <w:rsid w:val="002456F4"/>
    <w:rsid w:val="004E4D18"/>
    <w:rsid w:val="006623D3"/>
    <w:rsid w:val="00835121"/>
    <w:rsid w:val="00860B2D"/>
    <w:rsid w:val="009120CC"/>
    <w:rsid w:val="009B246C"/>
    <w:rsid w:val="00B221FC"/>
    <w:rsid w:val="00B73B8D"/>
    <w:rsid w:val="00C35214"/>
    <w:rsid w:val="00C624FD"/>
    <w:rsid w:val="00DC1AB5"/>
    <w:rsid w:val="00E02545"/>
    <w:rsid w:val="00EB4178"/>
    <w:rsid w:val="00EC3177"/>
    <w:rsid w:val="00FD3769"/>
    <w:rsid w:val="072A0724"/>
    <w:rsid w:val="08804472"/>
    <w:rsid w:val="119D312A"/>
    <w:rsid w:val="1DFFEF62"/>
    <w:rsid w:val="4F9F2A53"/>
    <w:rsid w:val="6A81243D"/>
    <w:rsid w:val="6D9FC385"/>
    <w:rsid w:val="72DBBE2C"/>
    <w:rsid w:val="7F7731F6"/>
    <w:rsid w:val="7FDD1823"/>
    <w:rsid w:val="7FFD7560"/>
    <w:rsid w:val="BF3B6728"/>
    <w:rsid w:val="CD57B536"/>
    <w:rsid w:val="DDDE6B10"/>
    <w:rsid w:val="EFE7E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qFormat/>
    <w:uiPriority w:val="9"/>
    <w:pPr>
      <w:keepNext/>
      <w:keepLines/>
      <w:tabs>
        <w:tab w:val="left" w:pos="432"/>
        <w:tab w:val="left" w:pos="727"/>
      </w:tabs>
      <w:spacing w:before="280" w:after="290"/>
      <w:ind w:left="727" w:hanging="864"/>
      <w:outlineLvl w:val="3"/>
    </w:pPr>
    <w:rPr>
      <w:rFonts w:ascii="Arial" w:hAnsi="Arial"/>
      <w:b/>
      <w:bCs/>
      <w:szCs w:val="28"/>
    </w:rPr>
  </w:style>
  <w:style w:type="paragraph" w:styleId="6">
    <w:name w:val="heading 5"/>
    <w:basedOn w:val="1"/>
    <w:next w:val="1"/>
    <w:link w:val="23"/>
    <w:qFormat/>
    <w:uiPriority w:val="9"/>
    <w:pPr>
      <w:keepNext/>
      <w:keepLines/>
      <w:numPr>
        <w:ilvl w:val="4"/>
        <w:numId w:val="1"/>
      </w:numPr>
      <w:outlineLvl w:val="4"/>
    </w:pPr>
    <w:rPr>
      <w:b/>
      <w:bCs/>
      <w:szCs w:val="28"/>
    </w:rPr>
  </w:style>
  <w:style w:type="paragraph" w:styleId="7">
    <w:name w:val="heading 6"/>
    <w:basedOn w:val="1"/>
    <w:next w:val="1"/>
    <w:link w:val="24"/>
    <w:qFormat/>
    <w:uiPriority w:val="9"/>
    <w:pPr>
      <w:keepNext/>
      <w:keepLines/>
      <w:numPr>
        <w:ilvl w:val="5"/>
        <w:numId w:val="1"/>
      </w:numPr>
      <w:outlineLvl w:val="5"/>
    </w:pPr>
    <w:rPr>
      <w:rFonts w:ascii="Arial" w:hAnsi="Arial"/>
      <w:b/>
      <w:bCs/>
    </w:rPr>
  </w:style>
  <w:style w:type="paragraph" w:styleId="8">
    <w:name w:val="heading 7"/>
    <w:basedOn w:val="1"/>
    <w:next w:val="1"/>
    <w:link w:val="45"/>
    <w:unhideWhenUsed/>
    <w:qFormat/>
    <w:uiPriority w:val="0"/>
    <w:pPr>
      <w:keepNext/>
      <w:keepLines/>
      <w:spacing w:before="240" w:after="64" w:line="320" w:lineRule="auto"/>
      <w:outlineLvl w:val="6"/>
    </w:pPr>
    <w:rPr>
      <w:b/>
      <w:bCs/>
      <w:sz w:val="24"/>
    </w:rPr>
  </w:style>
  <w:style w:type="paragraph" w:styleId="9">
    <w:name w:val="heading 8"/>
    <w:basedOn w:val="1"/>
    <w:next w:val="1"/>
    <w:link w:val="46"/>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2"/>
    <w:qFormat/>
    <w:uiPriority w:val="0"/>
    <w:pPr>
      <w:keepNext/>
      <w:keepLines/>
      <w:tabs>
        <w:tab w:val="left" w:pos="1447"/>
      </w:tabs>
      <w:spacing w:before="240" w:after="64" w:line="320" w:lineRule="auto"/>
      <w:ind w:left="1447" w:hanging="1584"/>
      <w:outlineLvl w:val="8"/>
    </w:pPr>
    <w:rPr>
      <w:rFonts w:ascii="Arial" w:hAnsi="Arial" w:eastAsia="黑体"/>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8"/>
    <w:semiHidden/>
    <w:unhideWhenUsed/>
    <w:qFormat/>
    <w:uiPriority w:val="99"/>
    <w:pPr>
      <w:spacing w:after="120"/>
    </w:pPr>
  </w:style>
  <w:style w:type="paragraph" w:styleId="12">
    <w:name w:val="toc 3"/>
    <w:basedOn w:val="1"/>
    <w:next w:val="1"/>
    <w:unhideWhenUsed/>
    <w:qFormat/>
    <w:uiPriority w:val="39"/>
    <w:pPr>
      <w:tabs>
        <w:tab w:val="left" w:pos="1239"/>
        <w:tab w:val="center" w:leader="dot" w:pos="8295"/>
      </w:tabs>
      <w:ind w:left="400" w:leftChars="400"/>
    </w:pPr>
  </w:style>
  <w:style w:type="paragraph" w:styleId="13">
    <w:name w:val="Plain Text"/>
    <w:basedOn w:val="1"/>
    <w:link w:val="53"/>
    <w:qFormat/>
    <w:uiPriority w:val="0"/>
    <w:rPr>
      <w:rFonts w:hAnsi="Courier New"/>
      <w:szCs w:val="20"/>
    </w:rPr>
  </w:style>
  <w:style w:type="paragraph" w:styleId="14">
    <w:name w:val="footer"/>
    <w:basedOn w:val="1"/>
    <w:link w:val="25"/>
    <w:qFormat/>
    <w:uiPriority w:val="99"/>
    <w:pPr>
      <w:tabs>
        <w:tab w:val="center" w:pos="4153"/>
        <w:tab w:val="right" w:pos="8306"/>
      </w:tabs>
      <w:snapToGrid w:val="0"/>
    </w:pPr>
    <w:rPr>
      <w:sz w:val="18"/>
      <w:szCs w:val="18"/>
    </w:rPr>
  </w:style>
  <w:style w:type="paragraph" w:styleId="1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210"/>
        <w:tab w:val="right" w:leader="dot" w:pos="8296"/>
      </w:tabs>
    </w:pPr>
  </w:style>
  <w:style w:type="paragraph" w:styleId="17">
    <w:name w:val="footnote text"/>
    <w:basedOn w:val="1"/>
    <w:link w:val="27"/>
    <w:semiHidden/>
    <w:qFormat/>
    <w:uiPriority w:val="0"/>
    <w:pPr>
      <w:snapToGrid w:val="0"/>
    </w:pPr>
    <w:rPr>
      <w:sz w:val="18"/>
      <w:szCs w:val="18"/>
    </w:rPr>
  </w:style>
  <w:style w:type="paragraph" w:styleId="18">
    <w:name w:val="toc 2"/>
    <w:basedOn w:val="1"/>
    <w:next w:val="1"/>
    <w:unhideWhenUsed/>
    <w:qFormat/>
    <w:uiPriority w:val="39"/>
    <w:pPr>
      <w:tabs>
        <w:tab w:val="left" w:pos="840"/>
        <w:tab w:val="right" w:leader="dot" w:pos="8296"/>
      </w:tabs>
      <w:ind w:left="420" w:leftChars="200"/>
    </w:pPr>
  </w:style>
  <w:style w:type="paragraph" w:styleId="19">
    <w:name w:val="Body Text First Indent"/>
    <w:basedOn w:val="1"/>
    <w:link w:val="29"/>
    <w:semiHidden/>
    <w:unhideWhenUsed/>
    <w:qFormat/>
    <w:uiPriority w:val="0"/>
    <w:pPr>
      <w:spacing w:before="120" w:after="120"/>
      <w:ind w:left="284" w:firstLine="420" w:firstLineChars="100"/>
    </w:pPr>
    <w:rPr>
      <w:rFonts w:ascii="Calibri" w:hAnsi="Calibri"/>
      <w:szCs w:val="22"/>
    </w:rPr>
  </w:style>
  <w:style w:type="character" w:styleId="22">
    <w:name w:val="Hyperlink"/>
    <w:unhideWhenUsed/>
    <w:qFormat/>
    <w:uiPriority w:val="99"/>
    <w:rPr>
      <w:color w:val="0000FF"/>
      <w:u w:val="single"/>
    </w:rPr>
  </w:style>
  <w:style w:type="character" w:customStyle="1" w:styleId="23">
    <w:name w:val="标题 5 字符"/>
    <w:basedOn w:val="21"/>
    <w:link w:val="6"/>
    <w:qFormat/>
    <w:uiPriority w:val="9"/>
    <w:rPr>
      <w:rFonts w:ascii="宋体" w:hAnsi="宋体" w:eastAsia="宋体" w:cs="宋体"/>
      <w:b/>
      <w:bCs/>
      <w:kern w:val="0"/>
      <w:szCs w:val="28"/>
    </w:rPr>
  </w:style>
  <w:style w:type="character" w:customStyle="1" w:styleId="24">
    <w:name w:val="标题 6 字符"/>
    <w:basedOn w:val="21"/>
    <w:link w:val="7"/>
    <w:qFormat/>
    <w:uiPriority w:val="9"/>
    <w:rPr>
      <w:rFonts w:ascii="Arial" w:hAnsi="Arial" w:eastAsia="宋体" w:cs="宋体"/>
      <w:b/>
      <w:bCs/>
      <w:kern w:val="0"/>
    </w:rPr>
  </w:style>
  <w:style w:type="character" w:customStyle="1" w:styleId="25">
    <w:name w:val="页脚 字符"/>
    <w:basedOn w:val="21"/>
    <w:link w:val="14"/>
    <w:qFormat/>
    <w:uiPriority w:val="99"/>
    <w:rPr>
      <w:rFonts w:ascii="宋体" w:hAnsi="宋体" w:eastAsia="宋体" w:cs="宋体"/>
      <w:kern w:val="0"/>
      <w:sz w:val="18"/>
      <w:szCs w:val="18"/>
    </w:rPr>
  </w:style>
  <w:style w:type="character" w:customStyle="1" w:styleId="26">
    <w:name w:val="页眉 字符"/>
    <w:basedOn w:val="21"/>
    <w:link w:val="15"/>
    <w:qFormat/>
    <w:uiPriority w:val="99"/>
    <w:rPr>
      <w:rFonts w:ascii="宋体" w:hAnsi="宋体" w:eastAsia="宋体" w:cs="宋体"/>
      <w:kern w:val="0"/>
      <w:sz w:val="18"/>
      <w:szCs w:val="18"/>
    </w:rPr>
  </w:style>
  <w:style w:type="character" w:customStyle="1" w:styleId="27">
    <w:name w:val="脚注文本 字符"/>
    <w:basedOn w:val="21"/>
    <w:link w:val="17"/>
    <w:semiHidden/>
    <w:qFormat/>
    <w:uiPriority w:val="0"/>
    <w:rPr>
      <w:rFonts w:ascii="宋体" w:hAnsi="宋体" w:eastAsia="宋体" w:cs="宋体"/>
      <w:kern w:val="0"/>
      <w:sz w:val="18"/>
      <w:szCs w:val="18"/>
    </w:rPr>
  </w:style>
  <w:style w:type="character" w:customStyle="1" w:styleId="28">
    <w:name w:val="正文文本 字符"/>
    <w:basedOn w:val="21"/>
    <w:link w:val="11"/>
    <w:semiHidden/>
    <w:qFormat/>
    <w:uiPriority w:val="99"/>
    <w:rPr>
      <w:rFonts w:ascii="宋体" w:hAnsi="宋体" w:eastAsia="宋体" w:cs="宋体"/>
      <w:kern w:val="0"/>
    </w:rPr>
  </w:style>
  <w:style w:type="character" w:customStyle="1" w:styleId="29">
    <w:name w:val="正文文本首行缩进 字符"/>
    <w:basedOn w:val="28"/>
    <w:link w:val="19"/>
    <w:semiHidden/>
    <w:qFormat/>
    <w:uiPriority w:val="0"/>
    <w:rPr>
      <w:rFonts w:ascii="Calibri" w:hAnsi="Calibri" w:eastAsia="宋体" w:cs="宋体"/>
      <w:kern w:val="0"/>
      <w:szCs w:val="22"/>
    </w:rPr>
  </w:style>
  <w:style w:type="paragraph" w:customStyle="1" w:styleId="30">
    <w:name w:val="Section7"/>
    <w:basedOn w:val="8"/>
    <w:qFormat/>
    <w:uiPriority w:val="0"/>
    <w:pPr>
      <w:numPr>
        <w:ilvl w:val="6"/>
        <w:numId w:val="1"/>
      </w:numPr>
      <w:tabs>
        <w:tab w:val="left" w:pos="360"/>
        <w:tab w:val="left" w:pos="1159"/>
        <w:tab w:val="clear" w:pos="1296"/>
      </w:tabs>
      <w:ind w:left="0" w:firstLine="0"/>
    </w:pPr>
    <w:rPr>
      <w:bCs w:val="0"/>
      <w:sz w:val="21"/>
    </w:rPr>
  </w:style>
  <w:style w:type="paragraph" w:customStyle="1" w:styleId="31">
    <w:name w:val="Section8"/>
    <w:basedOn w:val="9"/>
    <w:qFormat/>
    <w:uiPriority w:val="0"/>
    <w:pPr>
      <w:numPr>
        <w:ilvl w:val="7"/>
        <w:numId w:val="1"/>
      </w:numPr>
      <w:tabs>
        <w:tab w:val="left" w:pos="360"/>
        <w:tab w:val="left" w:pos="1303"/>
        <w:tab w:val="clear" w:pos="1440"/>
      </w:tabs>
      <w:ind w:left="0" w:firstLine="0"/>
    </w:pPr>
    <w:rPr>
      <w:rFonts w:ascii="Times New Roman" w:hAnsi="Times New Roman" w:eastAsia="宋体" w:cs="宋体"/>
      <w:b/>
      <w:bCs/>
      <w:sz w:val="21"/>
    </w:rPr>
  </w:style>
  <w:style w:type="paragraph" w:customStyle="1" w:styleId="32">
    <w:name w:val="文内标题一"/>
    <w:basedOn w:val="2"/>
    <w:link w:val="33"/>
    <w:qFormat/>
    <w:uiPriority w:val="0"/>
    <w:pPr>
      <w:keepNext w:val="0"/>
      <w:keepLines w:val="0"/>
      <w:numPr>
        <w:ilvl w:val="0"/>
        <w:numId w:val="1"/>
      </w:numPr>
      <w:spacing w:before="60" w:after="60" w:line="360" w:lineRule="auto"/>
    </w:pPr>
    <w:rPr>
      <w:sz w:val="28"/>
    </w:rPr>
  </w:style>
  <w:style w:type="character" w:customStyle="1" w:styleId="33">
    <w:name w:val="文内标题一 字符"/>
    <w:basedOn w:val="34"/>
    <w:link w:val="32"/>
    <w:qFormat/>
    <w:uiPriority w:val="0"/>
    <w:rPr>
      <w:rFonts w:ascii="宋体" w:hAnsi="宋体" w:eastAsia="宋体" w:cs="宋体"/>
      <w:kern w:val="44"/>
      <w:sz w:val="28"/>
      <w:szCs w:val="44"/>
    </w:rPr>
  </w:style>
  <w:style w:type="character" w:customStyle="1" w:styleId="34">
    <w:name w:val="标题 1 字符"/>
    <w:basedOn w:val="21"/>
    <w:link w:val="2"/>
    <w:qFormat/>
    <w:uiPriority w:val="9"/>
    <w:rPr>
      <w:rFonts w:ascii="宋体" w:hAnsi="宋体" w:eastAsia="宋体" w:cs="宋体"/>
      <w:b/>
      <w:bCs/>
      <w:kern w:val="44"/>
      <w:sz w:val="44"/>
      <w:szCs w:val="44"/>
    </w:rPr>
  </w:style>
  <w:style w:type="paragraph" w:customStyle="1" w:styleId="35">
    <w:name w:val="文内标题二"/>
    <w:basedOn w:val="3"/>
    <w:link w:val="36"/>
    <w:qFormat/>
    <w:uiPriority w:val="0"/>
    <w:pPr>
      <w:keepNext w:val="0"/>
      <w:keepLines w:val="0"/>
      <w:numPr>
        <w:ilvl w:val="1"/>
        <w:numId w:val="1"/>
      </w:numPr>
      <w:tabs>
        <w:tab w:val="left" w:pos="576"/>
      </w:tabs>
      <w:spacing w:before="40" w:after="40" w:line="360" w:lineRule="auto"/>
    </w:pPr>
    <w:rPr>
      <w:rFonts w:ascii="Times New Roman" w:hAnsi="Times New Roman" w:eastAsia="宋体"/>
      <w:sz w:val="24"/>
    </w:rPr>
  </w:style>
  <w:style w:type="character" w:customStyle="1" w:styleId="36">
    <w:name w:val="文内标题二 字符"/>
    <w:basedOn w:val="37"/>
    <w:link w:val="35"/>
    <w:qFormat/>
    <w:uiPriority w:val="0"/>
    <w:rPr>
      <w:rFonts w:ascii="Times New Roman" w:hAnsi="Times New Roman" w:eastAsia="宋体" w:cstheme="majorBidi"/>
      <w:kern w:val="0"/>
      <w:sz w:val="24"/>
      <w:szCs w:val="32"/>
    </w:rPr>
  </w:style>
  <w:style w:type="character" w:customStyle="1" w:styleId="37">
    <w:name w:val="标题 2 字符"/>
    <w:basedOn w:val="21"/>
    <w:link w:val="3"/>
    <w:semiHidden/>
    <w:qFormat/>
    <w:uiPriority w:val="9"/>
    <w:rPr>
      <w:rFonts w:asciiTheme="majorHAnsi" w:hAnsiTheme="majorHAnsi" w:eastAsiaTheme="majorEastAsia" w:cstheme="majorBidi"/>
      <w:b/>
      <w:bCs/>
      <w:kern w:val="0"/>
      <w:sz w:val="32"/>
      <w:szCs w:val="32"/>
    </w:rPr>
  </w:style>
  <w:style w:type="paragraph" w:customStyle="1" w:styleId="38">
    <w:name w:val="文内标题三"/>
    <w:basedOn w:val="4"/>
    <w:link w:val="48"/>
    <w:qFormat/>
    <w:uiPriority w:val="0"/>
    <w:pPr>
      <w:keepNext w:val="0"/>
      <w:keepLines w:val="0"/>
      <w:numPr>
        <w:ilvl w:val="2"/>
        <w:numId w:val="1"/>
      </w:numPr>
      <w:tabs>
        <w:tab w:val="left" w:pos="360"/>
        <w:tab w:val="left" w:pos="720"/>
      </w:tabs>
      <w:spacing w:before="0" w:after="0" w:line="360" w:lineRule="auto"/>
      <w:ind w:left="0" w:firstLine="0"/>
    </w:pPr>
    <w:rPr>
      <w:rFonts w:cstheme="minorBidi"/>
      <w:sz w:val="24"/>
      <w:szCs w:val="24"/>
    </w:rPr>
  </w:style>
  <w:style w:type="paragraph" w:customStyle="1" w:styleId="39">
    <w:name w:val="文内标题四"/>
    <w:basedOn w:val="1"/>
    <w:link w:val="49"/>
    <w:qFormat/>
    <w:uiPriority w:val="0"/>
    <w:pPr>
      <w:numPr>
        <w:ilvl w:val="3"/>
        <w:numId w:val="1"/>
      </w:numPr>
      <w:tabs>
        <w:tab w:val="left" w:pos="295"/>
        <w:tab w:val="left" w:pos="727"/>
        <w:tab w:val="left" w:pos="864"/>
      </w:tabs>
      <w:outlineLvl w:val="3"/>
    </w:pPr>
    <w:rPr>
      <w:rFonts w:ascii="Times New Roman" w:hAnsi="Times New Roman"/>
      <w:b/>
      <w:szCs w:val="21"/>
    </w:rPr>
  </w:style>
  <w:style w:type="paragraph" w:customStyle="1" w:styleId="40">
    <w:name w:val="文内正文"/>
    <w:basedOn w:val="41"/>
    <w:link w:val="42"/>
    <w:qFormat/>
    <w:uiPriority w:val="0"/>
    <w:pPr>
      <w:ind w:firstLine="200"/>
    </w:pPr>
  </w:style>
  <w:style w:type="paragraph" w:styleId="41">
    <w:name w:val="List Paragraph"/>
    <w:basedOn w:val="1"/>
    <w:link w:val="50"/>
    <w:qFormat/>
    <w:uiPriority w:val="34"/>
    <w:pPr>
      <w:ind w:firstLine="420" w:firstLineChars="200"/>
    </w:pPr>
  </w:style>
  <w:style w:type="character" w:customStyle="1" w:styleId="42">
    <w:name w:val="文内正文 字符"/>
    <w:basedOn w:val="21"/>
    <w:link w:val="40"/>
    <w:qFormat/>
    <w:uiPriority w:val="0"/>
    <w:rPr>
      <w:rFonts w:ascii="宋体" w:hAnsi="宋体" w:eastAsia="宋体" w:cs="宋体"/>
      <w:kern w:val="0"/>
    </w:rPr>
  </w:style>
  <w:style w:type="paragraph" w:customStyle="1" w:styleId="43">
    <w:name w:val="术语2.1"/>
    <w:basedOn w:val="1"/>
    <w:qFormat/>
    <w:uiPriority w:val="0"/>
    <w:pPr>
      <w:keepNext/>
      <w:numPr>
        <w:ilvl w:val="1"/>
        <w:numId w:val="2"/>
      </w:numPr>
    </w:pPr>
    <w:rPr>
      <w:rFonts w:ascii="黑体" w:eastAsia="黑体"/>
    </w:rPr>
  </w:style>
  <w:style w:type="paragraph" w:customStyle="1" w:styleId="44">
    <w:name w:val="TOC 标题3"/>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5">
    <w:name w:val="标题 7 字符"/>
    <w:basedOn w:val="21"/>
    <w:link w:val="8"/>
    <w:semiHidden/>
    <w:qFormat/>
    <w:uiPriority w:val="9"/>
    <w:rPr>
      <w:rFonts w:ascii="宋体" w:hAnsi="宋体" w:eastAsia="宋体" w:cs="宋体"/>
      <w:b/>
      <w:bCs/>
      <w:kern w:val="0"/>
      <w:sz w:val="24"/>
    </w:rPr>
  </w:style>
  <w:style w:type="character" w:customStyle="1" w:styleId="46">
    <w:name w:val="标题 8 字符"/>
    <w:basedOn w:val="21"/>
    <w:link w:val="9"/>
    <w:semiHidden/>
    <w:qFormat/>
    <w:uiPriority w:val="9"/>
    <w:rPr>
      <w:rFonts w:asciiTheme="majorHAnsi" w:hAnsiTheme="majorHAnsi" w:eastAsiaTheme="majorEastAsia" w:cstheme="majorBidi"/>
      <w:kern w:val="0"/>
      <w:sz w:val="24"/>
    </w:rPr>
  </w:style>
  <w:style w:type="character" w:customStyle="1" w:styleId="47">
    <w:name w:val="标题 3 字符"/>
    <w:basedOn w:val="21"/>
    <w:link w:val="4"/>
    <w:semiHidden/>
    <w:qFormat/>
    <w:uiPriority w:val="9"/>
    <w:rPr>
      <w:rFonts w:ascii="宋体" w:hAnsi="宋体" w:eastAsia="宋体" w:cs="宋体"/>
      <w:b/>
      <w:bCs/>
      <w:kern w:val="0"/>
      <w:sz w:val="32"/>
      <w:szCs w:val="32"/>
    </w:rPr>
  </w:style>
  <w:style w:type="character" w:customStyle="1" w:styleId="48">
    <w:name w:val="文内标题三 字符"/>
    <w:basedOn w:val="47"/>
    <w:link w:val="38"/>
    <w:qFormat/>
    <w:uiPriority w:val="0"/>
    <w:rPr>
      <w:rFonts w:ascii="宋体" w:hAnsi="宋体" w:eastAsia="宋体" w:cs="宋体"/>
      <w:kern w:val="0"/>
      <w:sz w:val="24"/>
      <w:szCs w:val="32"/>
    </w:rPr>
  </w:style>
  <w:style w:type="character" w:customStyle="1" w:styleId="49">
    <w:name w:val="文内标题四 字符"/>
    <w:basedOn w:val="21"/>
    <w:link w:val="39"/>
    <w:qFormat/>
    <w:uiPriority w:val="0"/>
    <w:rPr>
      <w:rFonts w:ascii="Times New Roman" w:hAnsi="Times New Roman" w:eastAsia="宋体" w:cs="宋体"/>
      <w:b/>
      <w:kern w:val="0"/>
      <w:szCs w:val="21"/>
    </w:rPr>
  </w:style>
  <w:style w:type="character" w:customStyle="1" w:styleId="50">
    <w:name w:val="列表段落 字符"/>
    <w:link w:val="41"/>
    <w:qFormat/>
    <w:uiPriority w:val="34"/>
    <w:rPr>
      <w:rFonts w:ascii="宋体" w:hAnsi="宋体" w:eastAsia="宋体" w:cs="宋体"/>
      <w:kern w:val="0"/>
    </w:rPr>
  </w:style>
  <w:style w:type="character" w:customStyle="1" w:styleId="51">
    <w:name w:val="标题 4 字符"/>
    <w:basedOn w:val="21"/>
    <w:link w:val="5"/>
    <w:qFormat/>
    <w:uiPriority w:val="9"/>
    <w:rPr>
      <w:rFonts w:ascii="Arial" w:hAnsi="Arial" w:eastAsia="宋体" w:cs="宋体"/>
      <w:b/>
      <w:bCs/>
      <w:kern w:val="0"/>
      <w:szCs w:val="28"/>
    </w:rPr>
  </w:style>
  <w:style w:type="character" w:customStyle="1" w:styleId="52">
    <w:name w:val="标题 9 字符"/>
    <w:basedOn w:val="21"/>
    <w:link w:val="10"/>
    <w:qFormat/>
    <w:uiPriority w:val="0"/>
    <w:rPr>
      <w:rFonts w:ascii="Arial" w:hAnsi="Arial" w:eastAsia="黑体" w:cs="宋体"/>
      <w:kern w:val="0"/>
      <w:szCs w:val="21"/>
    </w:rPr>
  </w:style>
  <w:style w:type="character" w:customStyle="1" w:styleId="53">
    <w:name w:val="纯文本 字符"/>
    <w:basedOn w:val="21"/>
    <w:link w:val="13"/>
    <w:qFormat/>
    <w:uiPriority w:val="0"/>
    <w:rPr>
      <w:rFonts w:ascii="宋体" w:hAnsi="Courier New" w:eastAsia="宋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3653</Words>
  <Characters>4847</Characters>
  <Lines>44</Lines>
  <Paragraphs>12</Paragraphs>
  <TotalTime>1</TotalTime>
  <ScaleCrop>false</ScaleCrop>
  <LinksUpToDate>false</LinksUpToDate>
  <CharactersWithSpaces>5055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2022-04-25T00:24:00Z</dcterms:created>
  <dc:creator>tudou_lrr@163.com</dc:creator>
  <cp:lastModifiedBy>栀子</cp:lastModifiedBy>
  <dcterms:modified xsi:type="dcterms:W3CDTF">2024-11-14T11:15:50Z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079F8A284D1348B2995F59D99DCD0455</vt:lpwstr>
  </property>
</Properties>
</file>