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2EF1F9">
      <w:pPr>
        <w:wordWrap w:val="0"/>
        <w:spacing w:line="900" w:lineRule="exact"/>
        <w:ind w:firstLine="680" w:firstLineChars="200"/>
        <w:rPr>
          <w:rFonts w:ascii="Times New Roman" w:hAnsi="Times New Roman" w:eastAsia="仿宋_GB2312" w:cs="Times New Roman"/>
          <w:sz w:val="34"/>
          <w:szCs w:val="34"/>
          <w:highlight w:val="none"/>
        </w:rPr>
      </w:pPr>
    </w:p>
    <w:p w14:paraId="74BFA9BC">
      <w:pPr>
        <w:wordWrap w:val="0"/>
        <w:spacing w:line="900" w:lineRule="exact"/>
        <w:ind w:firstLine="680" w:firstLineChars="200"/>
        <w:rPr>
          <w:rFonts w:ascii="Times New Roman" w:hAnsi="Times New Roman" w:eastAsia="仿宋_GB2312" w:cs="Times New Roman"/>
          <w:sz w:val="34"/>
          <w:szCs w:val="34"/>
          <w:highlight w:val="none"/>
        </w:rPr>
      </w:pPr>
    </w:p>
    <w:p w14:paraId="3117DC94">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0"/>
        <w:rPr>
          <w:rFonts w:hint="default" w:ascii="方正小标宋简体" w:hAnsi="Times New Roman" w:eastAsia="方正小标宋简体" w:cs="Times New Roman"/>
          <w:w w:val="90"/>
          <w:sz w:val="52"/>
          <w:szCs w:val="52"/>
          <w:highlight w:val="none"/>
          <w:lang w:val="en-US" w:eastAsia="zh-CN"/>
        </w:rPr>
      </w:pPr>
      <w:bookmarkStart w:id="0" w:name="_Toc32462"/>
      <w:bookmarkStart w:id="1" w:name="_Toc20919"/>
      <w:r>
        <w:rPr>
          <w:rFonts w:hint="eastAsia" w:ascii="方正小标宋简体" w:hAnsi="Times New Roman" w:eastAsia="方正小标宋简体" w:cs="Times New Roman"/>
          <w:w w:val="90"/>
          <w:sz w:val="52"/>
          <w:szCs w:val="52"/>
          <w:highlight w:val="none"/>
          <w:lang w:val="en-US" w:eastAsia="zh-CN"/>
        </w:rPr>
        <w:t>山东省第四批</w:t>
      </w:r>
      <w:bookmarkEnd w:id="0"/>
      <w:bookmarkEnd w:id="1"/>
    </w:p>
    <w:p w14:paraId="4C4C6710">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0"/>
        <w:rPr>
          <w:rFonts w:ascii="方正小标宋简体" w:hAnsi="Times New Roman" w:eastAsia="方正小标宋简体" w:cs="Times New Roman"/>
          <w:w w:val="90"/>
          <w:sz w:val="52"/>
          <w:szCs w:val="52"/>
          <w:highlight w:val="none"/>
        </w:rPr>
      </w:pPr>
      <w:bookmarkStart w:id="2" w:name="_Toc21089"/>
      <w:bookmarkStart w:id="3" w:name="_Toc14473"/>
      <w:r>
        <w:rPr>
          <w:rFonts w:hint="eastAsia" w:ascii="方正小标宋简体" w:hAnsi="Times New Roman" w:eastAsia="方正小标宋简体" w:cs="Times New Roman"/>
          <w:w w:val="90"/>
          <w:sz w:val="52"/>
          <w:szCs w:val="52"/>
          <w:highlight w:val="none"/>
        </w:rPr>
        <w:t>医用耗材集中带量采购文件</w:t>
      </w:r>
      <w:bookmarkEnd w:id="2"/>
      <w:bookmarkEnd w:id="3"/>
    </w:p>
    <w:p w14:paraId="58AD967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Times New Roman" w:eastAsia="仿宋_GB2312" w:cs="Times New Roman"/>
          <w:sz w:val="32"/>
          <w:szCs w:val="32"/>
          <w:highlight w:val="none"/>
          <w:lang w:eastAsia="zh-CN"/>
        </w:rPr>
      </w:pPr>
    </w:p>
    <w:p w14:paraId="378931D5">
      <w:pPr>
        <w:spacing w:line="600" w:lineRule="exact"/>
        <w:jc w:val="center"/>
        <w:rPr>
          <w:rFonts w:ascii="仿宋_GB2312" w:hAnsi="Times New Roman" w:eastAsia="仿宋_GB2312" w:cs="Times New Roman"/>
          <w:sz w:val="28"/>
          <w:szCs w:val="28"/>
          <w:highlight w:val="none"/>
        </w:rPr>
      </w:pPr>
    </w:p>
    <w:p w14:paraId="2EDBF4DE">
      <w:pPr>
        <w:spacing w:line="600" w:lineRule="exact"/>
        <w:jc w:val="center"/>
        <w:rPr>
          <w:rFonts w:ascii="仿宋_GB2312" w:hAnsi="Times New Roman" w:eastAsia="仿宋_GB2312" w:cs="Times New Roman"/>
          <w:sz w:val="34"/>
          <w:szCs w:val="34"/>
          <w:highlight w:val="none"/>
        </w:rPr>
      </w:pPr>
    </w:p>
    <w:p w14:paraId="543A22F2">
      <w:pPr>
        <w:spacing w:line="600" w:lineRule="exact"/>
        <w:jc w:val="center"/>
        <w:rPr>
          <w:rFonts w:ascii="仿宋_GB2312" w:hAnsi="Times New Roman" w:eastAsia="仿宋_GB2312" w:cs="Times New Roman"/>
          <w:sz w:val="34"/>
          <w:szCs w:val="34"/>
          <w:highlight w:val="none"/>
        </w:rPr>
      </w:pPr>
    </w:p>
    <w:p w14:paraId="595C370C">
      <w:pPr>
        <w:spacing w:line="600" w:lineRule="exact"/>
        <w:jc w:val="center"/>
        <w:rPr>
          <w:rFonts w:hint="default"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rPr>
        <w:t>采购文件编号：SD-HCDL202</w:t>
      </w:r>
      <w:r>
        <w:rPr>
          <w:rFonts w:hint="eastAsia" w:ascii="仿宋_GB2312" w:hAnsi="Times New Roman" w:eastAsia="仿宋_GB2312" w:cs="Times New Roman"/>
          <w:sz w:val="32"/>
          <w:szCs w:val="32"/>
          <w:highlight w:val="none"/>
          <w:lang w:val="en-US" w:eastAsia="zh-CN"/>
        </w:rPr>
        <w:t>4-1</w:t>
      </w:r>
    </w:p>
    <w:p w14:paraId="0E813288">
      <w:pPr>
        <w:spacing w:line="600" w:lineRule="exact"/>
        <w:jc w:val="center"/>
        <w:rPr>
          <w:rFonts w:ascii="Times New Roman" w:hAnsi="Times New Roman" w:eastAsia="仿宋_GB2312" w:cs="Times New Roman"/>
          <w:sz w:val="34"/>
          <w:szCs w:val="34"/>
          <w:highlight w:val="none"/>
        </w:rPr>
      </w:pPr>
    </w:p>
    <w:p w14:paraId="28DBEE48">
      <w:pPr>
        <w:spacing w:line="600" w:lineRule="exact"/>
        <w:jc w:val="center"/>
        <w:rPr>
          <w:rFonts w:ascii="Times New Roman" w:hAnsi="Times New Roman" w:eastAsia="仿宋_GB2312" w:cs="Times New Roman"/>
          <w:sz w:val="34"/>
          <w:szCs w:val="34"/>
          <w:highlight w:val="none"/>
        </w:rPr>
      </w:pPr>
    </w:p>
    <w:p w14:paraId="6D95E5B1">
      <w:pPr>
        <w:spacing w:line="600" w:lineRule="exact"/>
        <w:jc w:val="center"/>
        <w:rPr>
          <w:rFonts w:ascii="Times New Roman" w:hAnsi="Times New Roman" w:eastAsia="仿宋_GB2312" w:cs="Times New Roman"/>
          <w:sz w:val="34"/>
          <w:szCs w:val="34"/>
          <w:highlight w:val="none"/>
        </w:rPr>
      </w:pPr>
    </w:p>
    <w:p w14:paraId="5417F391">
      <w:pPr>
        <w:spacing w:line="600" w:lineRule="exact"/>
        <w:jc w:val="center"/>
        <w:rPr>
          <w:rFonts w:ascii="Times New Roman" w:hAnsi="Times New Roman" w:eastAsia="仿宋_GB2312" w:cs="Times New Roman"/>
          <w:sz w:val="34"/>
          <w:szCs w:val="34"/>
          <w:highlight w:val="none"/>
        </w:rPr>
      </w:pPr>
    </w:p>
    <w:p w14:paraId="384CE668">
      <w:pPr>
        <w:spacing w:line="600" w:lineRule="exact"/>
        <w:jc w:val="center"/>
        <w:rPr>
          <w:rFonts w:ascii="Times New Roman" w:hAnsi="Times New Roman" w:eastAsia="仿宋_GB2312" w:cs="Times New Roman"/>
          <w:sz w:val="34"/>
          <w:szCs w:val="34"/>
          <w:highlight w:val="none"/>
        </w:rPr>
      </w:pPr>
    </w:p>
    <w:p w14:paraId="2F85CB90">
      <w:pPr>
        <w:spacing w:line="600" w:lineRule="exact"/>
        <w:jc w:val="center"/>
        <w:rPr>
          <w:rFonts w:ascii="Times New Roman" w:hAnsi="Times New Roman" w:eastAsia="仿宋_GB2312" w:cs="Times New Roman"/>
          <w:sz w:val="34"/>
          <w:szCs w:val="34"/>
          <w:highlight w:val="none"/>
        </w:rPr>
      </w:pPr>
    </w:p>
    <w:p w14:paraId="4F43051B">
      <w:pPr>
        <w:spacing w:line="600" w:lineRule="exact"/>
        <w:jc w:val="center"/>
        <w:rPr>
          <w:rFonts w:ascii="Times New Roman" w:hAnsi="Times New Roman" w:eastAsia="仿宋_GB2312" w:cs="Times New Roman"/>
          <w:sz w:val="34"/>
          <w:szCs w:val="34"/>
          <w:highlight w:val="none"/>
        </w:rPr>
      </w:pPr>
    </w:p>
    <w:p w14:paraId="29484FD8">
      <w:pPr>
        <w:spacing w:line="600" w:lineRule="exact"/>
        <w:jc w:val="center"/>
        <w:rPr>
          <w:rFonts w:ascii="Times New Roman" w:hAnsi="Times New Roman" w:eastAsia="仿宋_GB2312" w:cs="Times New Roman"/>
          <w:sz w:val="34"/>
          <w:szCs w:val="34"/>
          <w:highlight w:val="none"/>
        </w:rPr>
      </w:pPr>
    </w:p>
    <w:p w14:paraId="0FC488F3">
      <w:pPr>
        <w:spacing w:line="600" w:lineRule="exact"/>
        <w:jc w:val="center"/>
        <w:outlineLvl w:val="0"/>
        <w:rPr>
          <w:rFonts w:ascii="Times New Roman" w:hAnsi="Times New Roman" w:eastAsia="仿宋_GB2312" w:cs="Times New Roman"/>
          <w:sz w:val="32"/>
          <w:szCs w:val="32"/>
          <w:highlight w:val="none"/>
        </w:rPr>
      </w:pPr>
      <w:bookmarkStart w:id="4" w:name="_Toc4403"/>
      <w:bookmarkStart w:id="5" w:name="_Toc28196"/>
      <w:r>
        <w:rPr>
          <w:rFonts w:hint="eastAsia" w:ascii="Times New Roman" w:hAnsi="Times New Roman" w:eastAsia="仿宋_GB2312" w:cs="Times New Roman"/>
          <w:sz w:val="32"/>
          <w:szCs w:val="32"/>
          <w:highlight w:val="none"/>
        </w:rPr>
        <w:t>山东省公共资源交易中心</w:t>
      </w:r>
      <w:bookmarkEnd w:id="4"/>
      <w:bookmarkEnd w:id="5"/>
    </w:p>
    <w:p w14:paraId="2D908261">
      <w:pPr>
        <w:spacing w:line="600" w:lineRule="exact"/>
        <w:jc w:val="center"/>
        <w:rPr>
          <w:rFonts w:ascii="仿宋_GB2312" w:hAnsi="Times New Roman" w:eastAsia="仿宋_GB2312" w:cs="Times New Roman"/>
          <w:sz w:val="34"/>
          <w:szCs w:val="34"/>
          <w:highlight w:val="none"/>
        </w:rPr>
        <w:sectPr>
          <w:headerReference r:id="rId3" w:type="first"/>
          <w:footerReference r:id="rId4" w:type="first"/>
          <w:pgSz w:w="11906" w:h="16838"/>
          <w:pgMar w:top="2041" w:right="1559" w:bottom="1701" w:left="1559" w:header="851" w:footer="992" w:gutter="0"/>
          <w:pgNumType w:start="0"/>
          <w:cols w:space="425" w:num="1"/>
          <w:titlePg/>
          <w:docGrid w:type="lines" w:linePitch="312" w:charSpace="0"/>
        </w:sectPr>
      </w:pPr>
      <w:r>
        <w:rPr>
          <w:rFonts w:hint="eastAsia" w:ascii="仿宋_GB2312" w:hAnsi="Times New Roman" w:eastAsia="仿宋_GB2312" w:cs="Times New Roman"/>
          <w:sz w:val="32"/>
          <w:szCs w:val="32"/>
          <w:highlight w:val="none"/>
        </w:rPr>
        <w:t>202</w:t>
      </w:r>
      <w:r>
        <w:rPr>
          <w:rFonts w:hint="eastAsia" w:ascii="仿宋_GB2312" w:hAnsi="Times New Roman" w:eastAsia="仿宋_GB2312" w:cs="Times New Roman"/>
          <w:sz w:val="32"/>
          <w:szCs w:val="32"/>
          <w:highlight w:val="none"/>
          <w:lang w:val="en-US" w:eastAsia="zh-CN"/>
        </w:rPr>
        <w:t>4</w:t>
      </w:r>
      <w:r>
        <w:rPr>
          <w:rFonts w:hint="eastAsia" w:ascii="仿宋_GB2312" w:hAnsi="Times New Roman" w:eastAsia="仿宋_GB2312" w:cs="Times New Roman"/>
          <w:sz w:val="32"/>
          <w:szCs w:val="32"/>
          <w:highlight w:val="none"/>
        </w:rPr>
        <w:t>年</w:t>
      </w:r>
      <w:r>
        <w:rPr>
          <w:rFonts w:hint="eastAsia" w:ascii="仿宋_GB2312" w:hAnsi="Times New Roman" w:eastAsia="仿宋_GB2312" w:cs="Times New Roman"/>
          <w:sz w:val="32"/>
          <w:szCs w:val="32"/>
          <w:highlight w:val="none"/>
          <w:lang w:val="en-US" w:eastAsia="zh-CN"/>
        </w:rPr>
        <w:t>12</w:t>
      </w:r>
      <w:r>
        <w:rPr>
          <w:rFonts w:hint="eastAsia" w:ascii="仿宋_GB2312" w:hAnsi="Times New Roman" w:eastAsia="仿宋_GB2312" w:cs="Times New Roman"/>
          <w:sz w:val="32"/>
          <w:szCs w:val="32"/>
          <w:highlight w:val="none"/>
        </w:rPr>
        <w:t>月</w:t>
      </w:r>
      <w:r>
        <w:rPr>
          <w:rFonts w:hint="eastAsia" w:ascii="仿宋_GB2312" w:hAnsi="Times New Roman" w:eastAsia="仿宋_GB2312" w:cs="Times New Roman"/>
          <w:sz w:val="34"/>
          <w:szCs w:val="34"/>
          <w:highlight w:val="none"/>
        </w:rPr>
        <w:br w:type="page"/>
      </w:r>
    </w:p>
    <w:p w14:paraId="5F3D23D1">
      <w:pPr>
        <w:spacing w:line="600" w:lineRule="exact"/>
        <w:jc w:val="center"/>
        <w:rPr>
          <w:rFonts w:ascii="Times New Roman" w:hAnsi="Times New Roman" w:eastAsia="仿宋_GB2312" w:cs="Times New Roman"/>
          <w:sz w:val="36"/>
          <w:szCs w:val="36"/>
          <w:highlight w:val="none"/>
        </w:rPr>
      </w:pPr>
      <w:r>
        <w:rPr>
          <w:rFonts w:hint="eastAsia" w:ascii="Times New Roman" w:hAnsi="Times New Roman" w:eastAsia="仿宋_GB2312" w:cs="Times New Roman"/>
          <w:sz w:val="36"/>
          <w:szCs w:val="36"/>
          <w:highlight w:val="none"/>
        </w:rPr>
        <w:t>目录</w:t>
      </w:r>
    </w:p>
    <w:sdt>
      <w:sdtPr>
        <w:rPr>
          <w:rFonts w:ascii="宋体" w:hAnsi="宋体" w:eastAsia="宋体" w:cstheme="minorBidi"/>
          <w:kern w:val="2"/>
          <w:sz w:val="21"/>
          <w:szCs w:val="22"/>
          <w:highlight w:val="none"/>
          <w:lang w:val="en-US" w:eastAsia="zh-CN" w:bidi="ar-SA"/>
        </w:rPr>
        <w:id w:val="147480354"/>
        <w15:color w:val="DBDBDB"/>
        <w:docPartObj>
          <w:docPartGallery w:val="Table of Contents"/>
          <w:docPartUnique/>
        </w:docPartObj>
      </w:sdtPr>
      <w:sdtEndPr>
        <w:rPr>
          <w:rFonts w:ascii="仿宋_GB2312" w:hAnsi="Times New Roman" w:eastAsia="仿宋_GB2312" w:cs="Times New Roman"/>
          <w:kern w:val="0"/>
          <w:sz w:val="22"/>
          <w:szCs w:val="24"/>
          <w:highlight w:val="none"/>
          <w:lang w:val="en-US" w:eastAsia="zh-CN" w:bidi="ar-SA"/>
        </w:rPr>
      </w:sdtEndPr>
      <w:sdtContent>
        <w:p w14:paraId="7206DD9B">
          <w:pPr>
            <w:spacing w:before="0" w:beforeLines="0" w:after="0" w:afterLines="0" w:line="240" w:lineRule="auto"/>
            <w:ind w:left="0" w:leftChars="0" w:right="0" w:rightChars="0" w:firstLine="0" w:firstLineChars="0"/>
            <w:jc w:val="center"/>
          </w:pPr>
          <w:r>
            <w:rPr>
              <w:rFonts w:ascii="仿宋_GB2312" w:hAnsi="Times New Roman" w:eastAsia="仿宋_GB2312"/>
              <w:szCs w:val="24"/>
              <w:highlight w:val="none"/>
            </w:rPr>
            <w:fldChar w:fldCharType="begin"/>
          </w:r>
          <w:r>
            <w:rPr>
              <w:rFonts w:ascii="仿宋_GB2312" w:hAnsi="Times New Roman" w:eastAsia="仿宋_GB2312"/>
              <w:szCs w:val="24"/>
              <w:highlight w:val="none"/>
            </w:rPr>
            <w:instrText xml:space="preserve">TOC \o "1-1" \h \u </w:instrText>
          </w:r>
          <w:r>
            <w:rPr>
              <w:rFonts w:ascii="仿宋_GB2312" w:hAnsi="Times New Roman" w:eastAsia="仿宋_GB2312"/>
              <w:szCs w:val="24"/>
              <w:highlight w:val="none"/>
            </w:rPr>
            <w:fldChar w:fldCharType="separate"/>
          </w:r>
        </w:p>
        <w:p w14:paraId="4D52AD21">
          <w:pPr>
            <w:pStyle w:val="12"/>
            <w:tabs>
              <w:tab w:val="right" w:leader="dot" w:pos="8788"/>
            </w:tabs>
            <w:rPr>
              <w:sz w:val="28"/>
              <w:szCs w:val="28"/>
            </w:rPr>
          </w:pPr>
          <w:r>
            <w:rPr>
              <w:rFonts w:ascii="仿宋_GB2312" w:hAnsi="Times New Roman" w:eastAsia="仿宋_GB2312"/>
              <w:sz w:val="28"/>
              <w:szCs w:val="28"/>
              <w:highlight w:val="none"/>
            </w:rPr>
            <w:fldChar w:fldCharType="begin"/>
          </w:r>
          <w:r>
            <w:rPr>
              <w:rFonts w:ascii="仿宋_GB2312" w:hAnsi="Times New Roman" w:eastAsia="仿宋_GB2312"/>
              <w:sz w:val="28"/>
              <w:szCs w:val="28"/>
              <w:highlight w:val="none"/>
            </w:rPr>
            <w:instrText xml:space="preserve"> HYPERLINK \l _Toc30857 </w:instrText>
          </w:r>
          <w:r>
            <w:rPr>
              <w:rFonts w:ascii="仿宋_GB2312" w:hAnsi="Times New Roman" w:eastAsia="仿宋_GB2312"/>
              <w:sz w:val="28"/>
              <w:szCs w:val="28"/>
              <w:highlight w:val="none"/>
            </w:rPr>
            <w:fldChar w:fldCharType="separate"/>
          </w:r>
          <w:r>
            <w:rPr>
              <w:rFonts w:hint="eastAsia" w:ascii="Times New Roman" w:hAnsi="Times New Roman" w:cs="Times New Roman"/>
              <w:sz w:val="28"/>
              <w:szCs w:val="28"/>
              <w:highlight w:val="none"/>
            </w:rPr>
            <w:t>一、采购品种范围</w:t>
          </w:r>
          <w:r>
            <w:rPr>
              <w:rFonts w:hint="eastAsia" w:ascii="Times New Roman" w:hAnsi="Times New Roman" w:cs="Times New Roman"/>
              <w:sz w:val="28"/>
              <w:szCs w:val="28"/>
              <w:highlight w:val="none"/>
              <w:lang w:val="en-US" w:eastAsia="zh-CN"/>
            </w:rPr>
            <w:t>及分组</w:t>
          </w:r>
          <w:r>
            <w:rPr>
              <w:sz w:val="28"/>
              <w:szCs w:val="28"/>
            </w:rPr>
            <w:tab/>
          </w:r>
          <w:r>
            <w:rPr>
              <w:sz w:val="28"/>
              <w:szCs w:val="28"/>
            </w:rPr>
            <w:fldChar w:fldCharType="begin"/>
          </w:r>
          <w:r>
            <w:rPr>
              <w:sz w:val="28"/>
              <w:szCs w:val="28"/>
            </w:rPr>
            <w:instrText xml:space="preserve"> PAGEREF _Toc30857 \h </w:instrText>
          </w:r>
          <w:r>
            <w:rPr>
              <w:sz w:val="28"/>
              <w:szCs w:val="28"/>
            </w:rPr>
            <w:fldChar w:fldCharType="separate"/>
          </w:r>
          <w:r>
            <w:rPr>
              <w:sz w:val="28"/>
              <w:szCs w:val="28"/>
            </w:rPr>
            <w:t>1</w:t>
          </w:r>
          <w:r>
            <w:rPr>
              <w:sz w:val="28"/>
              <w:szCs w:val="28"/>
            </w:rPr>
            <w:fldChar w:fldCharType="end"/>
          </w:r>
          <w:r>
            <w:rPr>
              <w:rFonts w:ascii="仿宋_GB2312" w:hAnsi="Times New Roman" w:eastAsia="仿宋_GB2312"/>
              <w:sz w:val="28"/>
              <w:szCs w:val="28"/>
              <w:highlight w:val="none"/>
            </w:rPr>
            <w:fldChar w:fldCharType="end"/>
          </w:r>
        </w:p>
        <w:p w14:paraId="53B53BA2">
          <w:pPr>
            <w:pStyle w:val="12"/>
            <w:tabs>
              <w:tab w:val="right" w:leader="dot" w:pos="8788"/>
            </w:tabs>
            <w:rPr>
              <w:sz w:val="28"/>
              <w:szCs w:val="28"/>
            </w:rPr>
          </w:pPr>
          <w:r>
            <w:rPr>
              <w:rFonts w:ascii="仿宋_GB2312" w:hAnsi="Times New Roman" w:eastAsia="仿宋_GB2312"/>
              <w:sz w:val="28"/>
              <w:szCs w:val="28"/>
              <w:highlight w:val="none"/>
            </w:rPr>
            <w:fldChar w:fldCharType="begin"/>
          </w:r>
          <w:r>
            <w:rPr>
              <w:rFonts w:ascii="仿宋_GB2312" w:hAnsi="Times New Roman" w:eastAsia="仿宋_GB2312"/>
              <w:sz w:val="28"/>
              <w:szCs w:val="28"/>
              <w:highlight w:val="none"/>
            </w:rPr>
            <w:instrText xml:space="preserve"> HYPERLINK \l _Toc23426 </w:instrText>
          </w:r>
          <w:r>
            <w:rPr>
              <w:rFonts w:ascii="仿宋_GB2312" w:hAnsi="Times New Roman" w:eastAsia="仿宋_GB2312"/>
              <w:sz w:val="28"/>
              <w:szCs w:val="28"/>
              <w:highlight w:val="none"/>
            </w:rPr>
            <w:fldChar w:fldCharType="separate"/>
          </w:r>
          <w:r>
            <w:rPr>
              <w:rFonts w:hint="eastAsia" w:ascii="Times New Roman" w:hAnsi="Times New Roman" w:cs="Times New Roman"/>
              <w:sz w:val="28"/>
              <w:szCs w:val="28"/>
              <w:highlight w:val="none"/>
              <w:lang w:val="en-US" w:eastAsia="zh-CN"/>
            </w:rPr>
            <w:t>二、申报要求</w:t>
          </w:r>
          <w:r>
            <w:rPr>
              <w:sz w:val="28"/>
              <w:szCs w:val="28"/>
            </w:rPr>
            <w:tab/>
          </w:r>
          <w:r>
            <w:rPr>
              <w:sz w:val="28"/>
              <w:szCs w:val="28"/>
            </w:rPr>
            <w:fldChar w:fldCharType="begin"/>
          </w:r>
          <w:r>
            <w:rPr>
              <w:sz w:val="28"/>
              <w:szCs w:val="28"/>
            </w:rPr>
            <w:instrText xml:space="preserve"> PAGEREF _Toc23426 \h </w:instrText>
          </w:r>
          <w:r>
            <w:rPr>
              <w:sz w:val="28"/>
              <w:szCs w:val="28"/>
            </w:rPr>
            <w:fldChar w:fldCharType="separate"/>
          </w:r>
          <w:r>
            <w:rPr>
              <w:sz w:val="28"/>
              <w:szCs w:val="28"/>
            </w:rPr>
            <w:t>2</w:t>
          </w:r>
          <w:r>
            <w:rPr>
              <w:sz w:val="28"/>
              <w:szCs w:val="28"/>
            </w:rPr>
            <w:fldChar w:fldCharType="end"/>
          </w:r>
          <w:r>
            <w:rPr>
              <w:rFonts w:ascii="仿宋_GB2312" w:hAnsi="Times New Roman" w:eastAsia="仿宋_GB2312"/>
              <w:sz w:val="28"/>
              <w:szCs w:val="28"/>
              <w:highlight w:val="none"/>
            </w:rPr>
            <w:fldChar w:fldCharType="end"/>
          </w:r>
        </w:p>
        <w:p w14:paraId="2D39C3CD">
          <w:pPr>
            <w:pStyle w:val="12"/>
            <w:tabs>
              <w:tab w:val="right" w:leader="dot" w:pos="8788"/>
            </w:tabs>
            <w:rPr>
              <w:sz w:val="28"/>
              <w:szCs w:val="28"/>
            </w:rPr>
          </w:pPr>
          <w:r>
            <w:rPr>
              <w:rFonts w:ascii="仿宋_GB2312" w:hAnsi="Times New Roman" w:eastAsia="仿宋_GB2312"/>
              <w:sz w:val="28"/>
              <w:szCs w:val="28"/>
              <w:highlight w:val="none"/>
            </w:rPr>
            <w:fldChar w:fldCharType="begin"/>
          </w:r>
          <w:r>
            <w:rPr>
              <w:rFonts w:ascii="仿宋_GB2312" w:hAnsi="Times New Roman" w:eastAsia="仿宋_GB2312"/>
              <w:sz w:val="28"/>
              <w:szCs w:val="28"/>
              <w:highlight w:val="none"/>
            </w:rPr>
            <w:instrText xml:space="preserve"> HYPERLINK \l _Toc6797 </w:instrText>
          </w:r>
          <w:r>
            <w:rPr>
              <w:rFonts w:ascii="仿宋_GB2312" w:hAnsi="Times New Roman" w:eastAsia="仿宋_GB2312"/>
              <w:sz w:val="28"/>
              <w:szCs w:val="28"/>
              <w:highlight w:val="none"/>
            </w:rPr>
            <w:fldChar w:fldCharType="separate"/>
          </w:r>
          <w:r>
            <w:rPr>
              <w:rFonts w:hint="eastAsia" w:ascii="Times New Roman" w:hAnsi="Times New Roman" w:cs="Times New Roman"/>
              <w:sz w:val="28"/>
              <w:szCs w:val="28"/>
              <w:highlight w:val="none"/>
              <w:lang w:val="en-US" w:eastAsia="zh-CN"/>
            </w:rPr>
            <w:t>三</w:t>
          </w:r>
          <w:r>
            <w:rPr>
              <w:rFonts w:hint="default" w:ascii="Times New Roman" w:hAnsi="Times New Roman" w:cs="Times New Roman"/>
              <w:sz w:val="28"/>
              <w:szCs w:val="28"/>
              <w:highlight w:val="none"/>
            </w:rPr>
            <w:t>、采购周期</w:t>
          </w:r>
          <w:r>
            <w:rPr>
              <w:sz w:val="28"/>
              <w:szCs w:val="28"/>
            </w:rPr>
            <w:tab/>
          </w:r>
          <w:r>
            <w:rPr>
              <w:sz w:val="28"/>
              <w:szCs w:val="28"/>
            </w:rPr>
            <w:fldChar w:fldCharType="begin"/>
          </w:r>
          <w:r>
            <w:rPr>
              <w:sz w:val="28"/>
              <w:szCs w:val="28"/>
            </w:rPr>
            <w:instrText xml:space="preserve"> PAGEREF _Toc6797 \h </w:instrText>
          </w:r>
          <w:r>
            <w:rPr>
              <w:sz w:val="28"/>
              <w:szCs w:val="28"/>
            </w:rPr>
            <w:fldChar w:fldCharType="separate"/>
          </w:r>
          <w:r>
            <w:rPr>
              <w:sz w:val="28"/>
              <w:szCs w:val="28"/>
            </w:rPr>
            <w:t>4</w:t>
          </w:r>
          <w:r>
            <w:rPr>
              <w:sz w:val="28"/>
              <w:szCs w:val="28"/>
            </w:rPr>
            <w:fldChar w:fldCharType="end"/>
          </w:r>
          <w:r>
            <w:rPr>
              <w:rFonts w:ascii="仿宋_GB2312" w:hAnsi="Times New Roman" w:eastAsia="仿宋_GB2312"/>
              <w:sz w:val="28"/>
              <w:szCs w:val="28"/>
              <w:highlight w:val="none"/>
            </w:rPr>
            <w:fldChar w:fldCharType="end"/>
          </w:r>
        </w:p>
        <w:p w14:paraId="31AABFE3">
          <w:pPr>
            <w:pStyle w:val="12"/>
            <w:tabs>
              <w:tab w:val="right" w:leader="dot" w:pos="8788"/>
            </w:tabs>
            <w:rPr>
              <w:sz w:val="28"/>
              <w:szCs w:val="28"/>
            </w:rPr>
          </w:pPr>
          <w:r>
            <w:rPr>
              <w:rFonts w:ascii="仿宋_GB2312" w:hAnsi="Times New Roman" w:eastAsia="仿宋_GB2312"/>
              <w:sz w:val="28"/>
              <w:szCs w:val="28"/>
              <w:highlight w:val="none"/>
            </w:rPr>
            <w:fldChar w:fldCharType="begin"/>
          </w:r>
          <w:r>
            <w:rPr>
              <w:rFonts w:ascii="仿宋_GB2312" w:hAnsi="Times New Roman" w:eastAsia="仿宋_GB2312"/>
              <w:sz w:val="28"/>
              <w:szCs w:val="28"/>
              <w:highlight w:val="none"/>
            </w:rPr>
            <w:instrText xml:space="preserve"> HYPERLINK \l _Toc6715 </w:instrText>
          </w:r>
          <w:r>
            <w:rPr>
              <w:rFonts w:ascii="仿宋_GB2312" w:hAnsi="Times New Roman" w:eastAsia="仿宋_GB2312"/>
              <w:sz w:val="28"/>
              <w:szCs w:val="28"/>
              <w:highlight w:val="none"/>
            </w:rPr>
            <w:fldChar w:fldCharType="separate"/>
          </w:r>
          <w:r>
            <w:rPr>
              <w:rFonts w:hint="eastAsia" w:ascii="Times New Roman" w:hAnsi="Times New Roman" w:cs="Times New Roman"/>
              <w:sz w:val="28"/>
              <w:szCs w:val="28"/>
              <w:highlight w:val="none"/>
              <w:lang w:val="en-US" w:eastAsia="zh-CN"/>
            </w:rPr>
            <w:t>四、</w:t>
          </w:r>
          <w:r>
            <w:rPr>
              <w:rFonts w:hint="default" w:ascii="Times New Roman" w:hAnsi="Times New Roman" w:cs="Times New Roman"/>
              <w:sz w:val="28"/>
              <w:szCs w:val="28"/>
              <w:highlight w:val="none"/>
              <w:lang w:val="en-US" w:eastAsia="zh-CN"/>
            </w:rPr>
            <w:t>企业报价与中选产品</w:t>
          </w:r>
          <w:r>
            <w:rPr>
              <w:sz w:val="28"/>
              <w:szCs w:val="28"/>
            </w:rPr>
            <w:tab/>
          </w:r>
          <w:r>
            <w:rPr>
              <w:sz w:val="28"/>
              <w:szCs w:val="28"/>
            </w:rPr>
            <w:fldChar w:fldCharType="begin"/>
          </w:r>
          <w:r>
            <w:rPr>
              <w:sz w:val="28"/>
              <w:szCs w:val="28"/>
            </w:rPr>
            <w:instrText xml:space="preserve"> PAGEREF _Toc6715 \h </w:instrText>
          </w:r>
          <w:r>
            <w:rPr>
              <w:sz w:val="28"/>
              <w:szCs w:val="28"/>
            </w:rPr>
            <w:fldChar w:fldCharType="separate"/>
          </w:r>
          <w:r>
            <w:rPr>
              <w:sz w:val="28"/>
              <w:szCs w:val="28"/>
            </w:rPr>
            <w:t>4</w:t>
          </w:r>
          <w:r>
            <w:rPr>
              <w:sz w:val="28"/>
              <w:szCs w:val="28"/>
            </w:rPr>
            <w:fldChar w:fldCharType="end"/>
          </w:r>
          <w:r>
            <w:rPr>
              <w:rFonts w:ascii="仿宋_GB2312" w:hAnsi="Times New Roman" w:eastAsia="仿宋_GB2312"/>
              <w:sz w:val="28"/>
              <w:szCs w:val="28"/>
              <w:highlight w:val="none"/>
            </w:rPr>
            <w:fldChar w:fldCharType="end"/>
          </w:r>
        </w:p>
        <w:p w14:paraId="5DB05E17">
          <w:pPr>
            <w:pStyle w:val="12"/>
            <w:tabs>
              <w:tab w:val="right" w:leader="dot" w:pos="8788"/>
            </w:tabs>
            <w:rPr>
              <w:sz w:val="28"/>
              <w:szCs w:val="28"/>
            </w:rPr>
          </w:pPr>
          <w:r>
            <w:rPr>
              <w:rFonts w:ascii="仿宋_GB2312" w:hAnsi="Times New Roman" w:eastAsia="仿宋_GB2312"/>
              <w:sz w:val="28"/>
              <w:szCs w:val="28"/>
              <w:highlight w:val="none"/>
            </w:rPr>
            <w:fldChar w:fldCharType="begin"/>
          </w:r>
          <w:r>
            <w:rPr>
              <w:rFonts w:ascii="仿宋_GB2312" w:hAnsi="Times New Roman" w:eastAsia="仿宋_GB2312"/>
              <w:sz w:val="28"/>
              <w:szCs w:val="28"/>
              <w:highlight w:val="none"/>
            </w:rPr>
            <w:instrText xml:space="preserve"> HYPERLINK \l _Toc18097 </w:instrText>
          </w:r>
          <w:r>
            <w:rPr>
              <w:rFonts w:ascii="仿宋_GB2312" w:hAnsi="Times New Roman" w:eastAsia="仿宋_GB2312"/>
              <w:sz w:val="28"/>
              <w:szCs w:val="28"/>
              <w:highlight w:val="none"/>
            </w:rPr>
            <w:fldChar w:fldCharType="separate"/>
          </w:r>
          <w:r>
            <w:rPr>
              <w:rFonts w:hint="eastAsia" w:ascii="Times New Roman" w:hAnsi="Times New Roman" w:cs="Times New Roman"/>
              <w:sz w:val="28"/>
              <w:szCs w:val="28"/>
              <w:highlight w:val="none"/>
              <w:lang w:val="en-US" w:eastAsia="zh-CN"/>
            </w:rPr>
            <w:t>五</w:t>
          </w:r>
          <w:r>
            <w:rPr>
              <w:rFonts w:hint="default" w:ascii="Times New Roman" w:hAnsi="Times New Roman" w:cs="Times New Roman"/>
              <w:sz w:val="28"/>
              <w:szCs w:val="28"/>
              <w:highlight w:val="none"/>
            </w:rPr>
            <w:t>、</w:t>
          </w:r>
          <w:r>
            <w:rPr>
              <w:rFonts w:hint="default" w:ascii="Times New Roman" w:hAnsi="Times New Roman" w:cs="Times New Roman"/>
              <w:sz w:val="28"/>
              <w:szCs w:val="28"/>
              <w:highlight w:val="none"/>
              <w:lang w:val="en-US" w:eastAsia="zh-CN"/>
            </w:rPr>
            <w:t>约定采购量</w:t>
          </w:r>
          <w:r>
            <w:rPr>
              <w:sz w:val="28"/>
              <w:szCs w:val="28"/>
            </w:rPr>
            <w:tab/>
          </w:r>
          <w:r>
            <w:rPr>
              <w:sz w:val="28"/>
              <w:szCs w:val="28"/>
            </w:rPr>
            <w:fldChar w:fldCharType="begin"/>
          </w:r>
          <w:r>
            <w:rPr>
              <w:sz w:val="28"/>
              <w:szCs w:val="28"/>
            </w:rPr>
            <w:instrText xml:space="preserve"> PAGEREF _Toc18097 \h </w:instrText>
          </w:r>
          <w:r>
            <w:rPr>
              <w:sz w:val="28"/>
              <w:szCs w:val="28"/>
            </w:rPr>
            <w:fldChar w:fldCharType="separate"/>
          </w:r>
          <w:r>
            <w:rPr>
              <w:sz w:val="28"/>
              <w:szCs w:val="28"/>
            </w:rPr>
            <w:t>6</w:t>
          </w:r>
          <w:r>
            <w:rPr>
              <w:sz w:val="28"/>
              <w:szCs w:val="28"/>
            </w:rPr>
            <w:fldChar w:fldCharType="end"/>
          </w:r>
          <w:r>
            <w:rPr>
              <w:rFonts w:ascii="仿宋_GB2312" w:hAnsi="Times New Roman" w:eastAsia="仿宋_GB2312"/>
              <w:sz w:val="28"/>
              <w:szCs w:val="28"/>
              <w:highlight w:val="none"/>
            </w:rPr>
            <w:fldChar w:fldCharType="end"/>
          </w:r>
        </w:p>
        <w:p w14:paraId="539ED08E">
          <w:pPr>
            <w:pStyle w:val="12"/>
            <w:tabs>
              <w:tab w:val="right" w:leader="dot" w:pos="8788"/>
            </w:tabs>
            <w:rPr>
              <w:sz w:val="28"/>
              <w:szCs w:val="28"/>
            </w:rPr>
          </w:pPr>
          <w:r>
            <w:rPr>
              <w:rFonts w:ascii="仿宋_GB2312" w:hAnsi="Times New Roman" w:eastAsia="仿宋_GB2312"/>
              <w:sz w:val="28"/>
              <w:szCs w:val="28"/>
              <w:highlight w:val="none"/>
            </w:rPr>
            <w:fldChar w:fldCharType="begin"/>
          </w:r>
          <w:r>
            <w:rPr>
              <w:rFonts w:ascii="仿宋_GB2312" w:hAnsi="Times New Roman" w:eastAsia="仿宋_GB2312"/>
              <w:sz w:val="28"/>
              <w:szCs w:val="28"/>
              <w:highlight w:val="none"/>
            </w:rPr>
            <w:instrText xml:space="preserve"> HYPERLINK \l _Toc22782 </w:instrText>
          </w:r>
          <w:r>
            <w:rPr>
              <w:rFonts w:ascii="仿宋_GB2312" w:hAnsi="Times New Roman" w:eastAsia="仿宋_GB2312"/>
              <w:sz w:val="28"/>
              <w:szCs w:val="28"/>
              <w:highlight w:val="none"/>
            </w:rPr>
            <w:fldChar w:fldCharType="separate"/>
          </w:r>
          <w:r>
            <w:rPr>
              <w:rFonts w:hint="eastAsia" w:ascii="Times New Roman" w:hAnsi="Times New Roman" w:eastAsia="黑体" w:cs="Times New Roman"/>
              <w:sz w:val="28"/>
              <w:szCs w:val="28"/>
              <w:highlight w:val="none"/>
              <w:lang w:val="en-US" w:eastAsia="zh-CN"/>
            </w:rPr>
            <w:t>六</w:t>
          </w:r>
          <w:r>
            <w:rPr>
              <w:rFonts w:hint="default" w:ascii="Times New Roman" w:hAnsi="Times New Roman" w:eastAsia="黑体" w:cs="Times New Roman"/>
              <w:sz w:val="28"/>
              <w:szCs w:val="28"/>
              <w:highlight w:val="none"/>
              <w:lang w:val="en-US" w:eastAsia="zh-CN"/>
            </w:rPr>
            <w:t>、动态调整</w:t>
          </w:r>
          <w:r>
            <w:rPr>
              <w:sz w:val="28"/>
              <w:szCs w:val="28"/>
            </w:rPr>
            <w:tab/>
          </w:r>
          <w:r>
            <w:rPr>
              <w:sz w:val="28"/>
              <w:szCs w:val="28"/>
            </w:rPr>
            <w:fldChar w:fldCharType="begin"/>
          </w:r>
          <w:r>
            <w:rPr>
              <w:sz w:val="28"/>
              <w:szCs w:val="28"/>
            </w:rPr>
            <w:instrText xml:space="preserve"> PAGEREF _Toc22782 \h </w:instrText>
          </w:r>
          <w:r>
            <w:rPr>
              <w:sz w:val="28"/>
              <w:szCs w:val="28"/>
            </w:rPr>
            <w:fldChar w:fldCharType="separate"/>
          </w:r>
          <w:r>
            <w:rPr>
              <w:sz w:val="28"/>
              <w:szCs w:val="28"/>
            </w:rPr>
            <w:t>7</w:t>
          </w:r>
          <w:r>
            <w:rPr>
              <w:sz w:val="28"/>
              <w:szCs w:val="28"/>
            </w:rPr>
            <w:fldChar w:fldCharType="end"/>
          </w:r>
          <w:r>
            <w:rPr>
              <w:rFonts w:ascii="仿宋_GB2312" w:hAnsi="Times New Roman" w:eastAsia="仿宋_GB2312"/>
              <w:sz w:val="28"/>
              <w:szCs w:val="28"/>
              <w:highlight w:val="none"/>
            </w:rPr>
            <w:fldChar w:fldCharType="end"/>
          </w:r>
        </w:p>
        <w:p w14:paraId="2698B465">
          <w:pPr>
            <w:pStyle w:val="12"/>
            <w:tabs>
              <w:tab w:val="right" w:leader="dot" w:pos="8788"/>
            </w:tabs>
            <w:rPr>
              <w:sz w:val="28"/>
              <w:szCs w:val="28"/>
            </w:rPr>
          </w:pPr>
          <w:r>
            <w:rPr>
              <w:rFonts w:ascii="仿宋_GB2312" w:hAnsi="Times New Roman" w:eastAsia="仿宋_GB2312"/>
              <w:sz w:val="28"/>
              <w:szCs w:val="28"/>
              <w:highlight w:val="none"/>
            </w:rPr>
            <w:fldChar w:fldCharType="begin"/>
          </w:r>
          <w:r>
            <w:rPr>
              <w:rFonts w:ascii="仿宋_GB2312" w:hAnsi="Times New Roman" w:eastAsia="仿宋_GB2312"/>
              <w:sz w:val="28"/>
              <w:szCs w:val="28"/>
              <w:highlight w:val="none"/>
            </w:rPr>
            <w:instrText xml:space="preserve"> HYPERLINK \l _Toc19581 </w:instrText>
          </w:r>
          <w:r>
            <w:rPr>
              <w:rFonts w:ascii="仿宋_GB2312" w:hAnsi="Times New Roman" w:eastAsia="仿宋_GB2312"/>
              <w:sz w:val="28"/>
              <w:szCs w:val="28"/>
              <w:highlight w:val="none"/>
            </w:rPr>
            <w:fldChar w:fldCharType="separate"/>
          </w:r>
          <w:r>
            <w:rPr>
              <w:rFonts w:hint="eastAsia" w:ascii="Times New Roman" w:hAnsi="Times New Roman" w:cs="Times New Roman"/>
              <w:sz w:val="28"/>
              <w:szCs w:val="28"/>
              <w:highlight w:val="none"/>
              <w:lang w:val="en-US" w:eastAsia="zh-CN"/>
            </w:rPr>
            <w:t>七</w:t>
          </w:r>
          <w:r>
            <w:rPr>
              <w:rFonts w:hint="default" w:ascii="Times New Roman" w:hAnsi="Times New Roman" w:cs="Times New Roman"/>
              <w:sz w:val="28"/>
              <w:szCs w:val="28"/>
              <w:highlight w:val="none"/>
            </w:rPr>
            <w:t>、采购执行说明</w:t>
          </w:r>
          <w:r>
            <w:rPr>
              <w:sz w:val="28"/>
              <w:szCs w:val="28"/>
            </w:rPr>
            <w:tab/>
          </w:r>
          <w:r>
            <w:rPr>
              <w:sz w:val="28"/>
              <w:szCs w:val="28"/>
            </w:rPr>
            <w:fldChar w:fldCharType="begin"/>
          </w:r>
          <w:r>
            <w:rPr>
              <w:sz w:val="28"/>
              <w:szCs w:val="28"/>
            </w:rPr>
            <w:instrText xml:space="preserve"> PAGEREF _Toc19581 \h </w:instrText>
          </w:r>
          <w:r>
            <w:rPr>
              <w:sz w:val="28"/>
              <w:szCs w:val="28"/>
            </w:rPr>
            <w:fldChar w:fldCharType="separate"/>
          </w:r>
          <w:r>
            <w:rPr>
              <w:sz w:val="28"/>
              <w:szCs w:val="28"/>
            </w:rPr>
            <w:t>7</w:t>
          </w:r>
          <w:r>
            <w:rPr>
              <w:sz w:val="28"/>
              <w:szCs w:val="28"/>
            </w:rPr>
            <w:fldChar w:fldCharType="end"/>
          </w:r>
          <w:r>
            <w:rPr>
              <w:rFonts w:ascii="仿宋_GB2312" w:hAnsi="Times New Roman" w:eastAsia="仿宋_GB2312"/>
              <w:sz w:val="28"/>
              <w:szCs w:val="28"/>
              <w:highlight w:val="none"/>
            </w:rPr>
            <w:fldChar w:fldCharType="end"/>
          </w:r>
        </w:p>
        <w:p w14:paraId="6E8FC260">
          <w:pPr>
            <w:pStyle w:val="12"/>
            <w:tabs>
              <w:tab w:val="right" w:leader="dot" w:pos="8788"/>
            </w:tabs>
            <w:rPr>
              <w:sz w:val="28"/>
              <w:szCs w:val="28"/>
            </w:rPr>
          </w:pPr>
          <w:r>
            <w:rPr>
              <w:rFonts w:ascii="仿宋_GB2312" w:hAnsi="Times New Roman" w:eastAsia="仿宋_GB2312"/>
              <w:sz w:val="28"/>
              <w:szCs w:val="28"/>
              <w:highlight w:val="none"/>
            </w:rPr>
            <w:fldChar w:fldCharType="begin"/>
          </w:r>
          <w:r>
            <w:rPr>
              <w:rFonts w:ascii="仿宋_GB2312" w:hAnsi="Times New Roman" w:eastAsia="仿宋_GB2312"/>
              <w:sz w:val="28"/>
              <w:szCs w:val="28"/>
              <w:highlight w:val="none"/>
            </w:rPr>
            <w:instrText xml:space="preserve"> HYPERLINK \l _Toc24185 </w:instrText>
          </w:r>
          <w:r>
            <w:rPr>
              <w:rFonts w:ascii="仿宋_GB2312" w:hAnsi="Times New Roman" w:eastAsia="仿宋_GB2312"/>
              <w:sz w:val="28"/>
              <w:szCs w:val="28"/>
              <w:highlight w:val="none"/>
            </w:rPr>
            <w:fldChar w:fldCharType="separate"/>
          </w:r>
          <w:r>
            <w:rPr>
              <w:rFonts w:hint="eastAsia" w:ascii="Times New Roman" w:hAnsi="Times New Roman" w:cs="Times New Roman"/>
              <w:sz w:val="28"/>
              <w:szCs w:val="28"/>
              <w:highlight w:val="none"/>
              <w:lang w:val="en-US" w:eastAsia="zh-CN"/>
            </w:rPr>
            <w:t>八</w:t>
          </w:r>
          <w:r>
            <w:rPr>
              <w:rFonts w:hint="eastAsia" w:ascii="Times New Roman" w:hAnsi="Times New Roman" w:cs="Times New Roman"/>
              <w:sz w:val="28"/>
              <w:szCs w:val="28"/>
              <w:highlight w:val="none"/>
            </w:rPr>
            <w:t>、</w:t>
          </w:r>
          <w:r>
            <w:rPr>
              <w:rFonts w:hint="eastAsia" w:ascii="Times New Roman" w:hAnsi="Times New Roman" w:cs="Times New Roman"/>
              <w:sz w:val="28"/>
              <w:szCs w:val="28"/>
              <w:highlight w:val="none"/>
              <w:lang w:val="en-US" w:eastAsia="zh-CN"/>
            </w:rPr>
            <w:t>通知公告发布</w:t>
          </w:r>
          <w:r>
            <w:rPr>
              <w:sz w:val="28"/>
              <w:szCs w:val="28"/>
            </w:rPr>
            <w:tab/>
          </w:r>
          <w:r>
            <w:rPr>
              <w:sz w:val="28"/>
              <w:szCs w:val="28"/>
            </w:rPr>
            <w:fldChar w:fldCharType="begin"/>
          </w:r>
          <w:r>
            <w:rPr>
              <w:sz w:val="28"/>
              <w:szCs w:val="28"/>
            </w:rPr>
            <w:instrText xml:space="preserve"> PAGEREF _Toc24185 \h </w:instrText>
          </w:r>
          <w:r>
            <w:rPr>
              <w:sz w:val="28"/>
              <w:szCs w:val="28"/>
            </w:rPr>
            <w:fldChar w:fldCharType="separate"/>
          </w:r>
          <w:r>
            <w:rPr>
              <w:sz w:val="28"/>
              <w:szCs w:val="28"/>
            </w:rPr>
            <w:t>8</w:t>
          </w:r>
          <w:r>
            <w:rPr>
              <w:sz w:val="28"/>
              <w:szCs w:val="28"/>
            </w:rPr>
            <w:fldChar w:fldCharType="end"/>
          </w:r>
          <w:r>
            <w:rPr>
              <w:rFonts w:ascii="仿宋_GB2312" w:hAnsi="Times New Roman" w:eastAsia="仿宋_GB2312"/>
              <w:sz w:val="28"/>
              <w:szCs w:val="28"/>
              <w:highlight w:val="none"/>
            </w:rPr>
            <w:fldChar w:fldCharType="end"/>
          </w:r>
        </w:p>
        <w:p w14:paraId="30A70192">
          <w:pPr>
            <w:pStyle w:val="12"/>
            <w:tabs>
              <w:tab w:val="right" w:leader="dot" w:pos="8788"/>
            </w:tabs>
            <w:rPr>
              <w:sz w:val="28"/>
              <w:szCs w:val="28"/>
            </w:rPr>
          </w:pPr>
          <w:r>
            <w:rPr>
              <w:rFonts w:ascii="仿宋_GB2312" w:hAnsi="Times New Roman" w:eastAsia="仿宋_GB2312"/>
              <w:sz w:val="28"/>
              <w:szCs w:val="28"/>
              <w:highlight w:val="none"/>
            </w:rPr>
            <w:fldChar w:fldCharType="begin"/>
          </w:r>
          <w:r>
            <w:rPr>
              <w:rFonts w:ascii="仿宋_GB2312" w:hAnsi="Times New Roman" w:eastAsia="仿宋_GB2312"/>
              <w:sz w:val="28"/>
              <w:szCs w:val="28"/>
              <w:highlight w:val="none"/>
            </w:rPr>
            <w:instrText xml:space="preserve"> HYPERLINK \l _Toc24582 </w:instrText>
          </w:r>
          <w:r>
            <w:rPr>
              <w:rFonts w:ascii="仿宋_GB2312" w:hAnsi="Times New Roman" w:eastAsia="仿宋_GB2312"/>
              <w:sz w:val="28"/>
              <w:szCs w:val="28"/>
              <w:highlight w:val="none"/>
            </w:rPr>
            <w:fldChar w:fldCharType="separate"/>
          </w:r>
          <w:r>
            <w:rPr>
              <w:rFonts w:hint="eastAsia" w:ascii="Times New Roman" w:hAnsi="Times New Roman" w:cs="Times New Roman"/>
              <w:sz w:val="28"/>
              <w:szCs w:val="28"/>
              <w:highlight w:val="none"/>
              <w:lang w:val="en-US" w:eastAsia="zh-CN"/>
            </w:rPr>
            <w:t>九</w:t>
          </w:r>
          <w:r>
            <w:rPr>
              <w:rFonts w:hint="eastAsia" w:ascii="Times New Roman" w:hAnsi="Times New Roman" w:cs="Times New Roman"/>
              <w:sz w:val="28"/>
              <w:szCs w:val="28"/>
              <w:highlight w:val="none"/>
            </w:rPr>
            <w:t>、采购工作流程</w:t>
          </w:r>
          <w:r>
            <w:rPr>
              <w:sz w:val="28"/>
              <w:szCs w:val="28"/>
            </w:rPr>
            <w:tab/>
          </w:r>
          <w:r>
            <w:rPr>
              <w:sz w:val="28"/>
              <w:szCs w:val="28"/>
            </w:rPr>
            <w:fldChar w:fldCharType="begin"/>
          </w:r>
          <w:r>
            <w:rPr>
              <w:sz w:val="28"/>
              <w:szCs w:val="28"/>
            </w:rPr>
            <w:instrText xml:space="preserve"> PAGEREF _Toc24582 \h </w:instrText>
          </w:r>
          <w:r>
            <w:rPr>
              <w:sz w:val="28"/>
              <w:szCs w:val="28"/>
            </w:rPr>
            <w:fldChar w:fldCharType="separate"/>
          </w:r>
          <w:r>
            <w:rPr>
              <w:sz w:val="28"/>
              <w:szCs w:val="28"/>
            </w:rPr>
            <w:t>8</w:t>
          </w:r>
          <w:r>
            <w:rPr>
              <w:sz w:val="28"/>
              <w:szCs w:val="28"/>
            </w:rPr>
            <w:fldChar w:fldCharType="end"/>
          </w:r>
          <w:r>
            <w:rPr>
              <w:rFonts w:ascii="仿宋_GB2312" w:hAnsi="Times New Roman" w:eastAsia="仿宋_GB2312"/>
              <w:sz w:val="28"/>
              <w:szCs w:val="28"/>
              <w:highlight w:val="none"/>
            </w:rPr>
            <w:fldChar w:fldCharType="end"/>
          </w:r>
        </w:p>
        <w:p w14:paraId="488BAAED">
          <w:pPr>
            <w:pStyle w:val="12"/>
            <w:tabs>
              <w:tab w:val="right" w:leader="dot" w:pos="8788"/>
            </w:tabs>
            <w:rPr>
              <w:sz w:val="28"/>
              <w:szCs w:val="28"/>
            </w:rPr>
          </w:pPr>
          <w:r>
            <w:rPr>
              <w:rFonts w:ascii="仿宋_GB2312" w:hAnsi="Times New Roman" w:eastAsia="仿宋_GB2312"/>
              <w:sz w:val="28"/>
              <w:szCs w:val="28"/>
              <w:highlight w:val="none"/>
            </w:rPr>
            <w:fldChar w:fldCharType="begin"/>
          </w:r>
          <w:r>
            <w:rPr>
              <w:rFonts w:ascii="仿宋_GB2312" w:hAnsi="Times New Roman" w:eastAsia="仿宋_GB2312"/>
              <w:sz w:val="28"/>
              <w:szCs w:val="28"/>
              <w:highlight w:val="none"/>
            </w:rPr>
            <w:instrText xml:space="preserve"> HYPERLINK \l _Toc32270 </w:instrText>
          </w:r>
          <w:r>
            <w:rPr>
              <w:rFonts w:ascii="仿宋_GB2312" w:hAnsi="Times New Roman" w:eastAsia="仿宋_GB2312"/>
              <w:sz w:val="28"/>
              <w:szCs w:val="28"/>
              <w:highlight w:val="none"/>
            </w:rPr>
            <w:fldChar w:fldCharType="separate"/>
          </w:r>
          <w:r>
            <w:rPr>
              <w:rFonts w:hint="eastAsia" w:ascii="Times New Roman" w:hAnsi="Times New Roman" w:cs="Times New Roman"/>
              <w:sz w:val="28"/>
              <w:szCs w:val="28"/>
              <w:highlight w:val="none"/>
              <w:lang w:val="en-US" w:eastAsia="zh-CN"/>
            </w:rPr>
            <w:t>十、申报时间和方式</w:t>
          </w:r>
          <w:r>
            <w:rPr>
              <w:sz w:val="28"/>
              <w:szCs w:val="28"/>
            </w:rPr>
            <w:tab/>
          </w:r>
          <w:r>
            <w:rPr>
              <w:sz w:val="28"/>
              <w:szCs w:val="28"/>
            </w:rPr>
            <w:fldChar w:fldCharType="begin"/>
          </w:r>
          <w:r>
            <w:rPr>
              <w:sz w:val="28"/>
              <w:szCs w:val="28"/>
            </w:rPr>
            <w:instrText xml:space="preserve"> PAGEREF _Toc32270 \h </w:instrText>
          </w:r>
          <w:r>
            <w:rPr>
              <w:sz w:val="28"/>
              <w:szCs w:val="28"/>
            </w:rPr>
            <w:fldChar w:fldCharType="separate"/>
          </w:r>
          <w:r>
            <w:rPr>
              <w:sz w:val="28"/>
              <w:szCs w:val="28"/>
            </w:rPr>
            <w:t>9</w:t>
          </w:r>
          <w:r>
            <w:rPr>
              <w:sz w:val="28"/>
              <w:szCs w:val="28"/>
            </w:rPr>
            <w:fldChar w:fldCharType="end"/>
          </w:r>
          <w:r>
            <w:rPr>
              <w:rFonts w:ascii="仿宋_GB2312" w:hAnsi="Times New Roman" w:eastAsia="仿宋_GB2312"/>
              <w:sz w:val="28"/>
              <w:szCs w:val="28"/>
              <w:highlight w:val="none"/>
            </w:rPr>
            <w:fldChar w:fldCharType="end"/>
          </w:r>
        </w:p>
        <w:p w14:paraId="5492DFCD">
          <w:pPr>
            <w:pStyle w:val="12"/>
            <w:tabs>
              <w:tab w:val="right" w:leader="dot" w:pos="8788"/>
            </w:tabs>
            <w:rPr>
              <w:sz w:val="28"/>
              <w:szCs w:val="28"/>
            </w:rPr>
          </w:pPr>
          <w:r>
            <w:rPr>
              <w:rFonts w:ascii="仿宋_GB2312" w:hAnsi="Times New Roman" w:eastAsia="仿宋_GB2312"/>
              <w:sz w:val="28"/>
              <w:szCs w:val="28"/>
              <w:highlight w:val="none"/>
            </w:rPr>
            <w:fldChar w:fldCharType="begin"/>
          </w:r>
          <w:r>
            <w:rPr>
              <w:rFonts w:ascii="仿宋_GB2312" w:hAnsi="Times New Roman" w:eastAsia="仿宋_GB2312"/>
              <w:sz w:val="28"/>
              <w:szCs w:val="28"/>
              <w:highlight w:val="none"/>
            </w:rPr>
            <w:instrText xml:space="preserve"> HYPERLINK \l _Toc8283 </w:instrText>
          </w:r>
          <w:r>
            <w:rPr>
              <w:rFonts w:ascii="仿宋_GB2312" w:hAnsi="Times New Roman" w:eastAsia="仿宋_GB2312"/>
              <w:sz w:val="28"/>
              <w:szCs w:val="28"/>
              <w:highlight w:val="none"/>
            </w:rPr>
            <w:fldChar w:fldCharType="separate"/>
          </w:r>
          <w:r>
            <w:rPr>
              <w:rFonts w:hint="eastAsia" w:ascii="Times New Roman" w:hAnsi="Times New Roman" w:cs="Times New Roman"/>
              <w:sz w:val="28"/>
              <w:szCs w:val="28"/>
              <w:highlight w:val="none"/>
              <w:lang w:val="en-US" w:eastAsia="zh-CN"/>
            </w:rPr>
            <w:t>十一、联系方式</w:t>
          </w:r>
          <w:r>
            <w:rPr>
              <w:sz w:val="28"/>
              <w:szCs w:val="28"/>
            </w:rPr>
            <w:tab/>
          </w:r>
          <w:r>
            <w:rPr>
              <w:sz w:val="28"/>
              <w:szCs w:val="28"/>
            </w:rPr>
            <w:fldChar w:fldCharType="begin"/>
          </w:r>
          <w:r>
            <w:rPr>
              <w:sz w:val="28"/>
              <w:szCs w:val="28"/>
            </w:rPr>
            <w:instrText xml:space="preserve"> PAGEREF _Toc8283 \h </w:instrText>
          </w:r>
          <w:r>
            <w:rPr>
              <w:sz w:val="28"/>
              <w:szCs w:val="28"/>
            </w:rPr>
            <w:fldChar w:fldCharType="separate"/>
          </w:r>
          <w:r>
            <w:rPr>
              <w:sz w:val="28"/>
              <w:szCs w:val="28"/>
            </w:rPr>
            <w:t>9</w:t>
          </w:r>
          <w:r>
            <w:rPr>
              <w:sz w:val="28"/>
              <w:szCs w:val="28"/>
            </w:rPr>
            <w:fldChar w:fldCharType="end"/>
          </w:r>
          <w:r>
            <w:rPr>
              <w:rFonts w:ascii="仿宋_GB2312" w:hAnsi="Times New Roman" w:eastAsia="仿宋_GB2312"/>
              <w:sz w:val="28"/>
              <w:szCs w:val="28"/>
              <w:highlight w:val="none"/>
            </w:rPr>
            <w:fldChar w:fldCharType="end"/>
          </w:r>
        </w:p>
        <w:p w14:paraId="000744AE">
          <w:pPr>
            <w:pStyle w:val="12"/>
            <w:tabs>
              <w:tab w:val="right" w:leader="dot" w:pos="8788"/>
            </w:tabs>
            <w:rPr>
              <w:sz w:val="28"/>
              <w:szCs w:val="28"/>
            </w:rPr>
          </w:pPr>
          <w:r>
            <w:rPr>
              <w:rFonts w:ascii="仿宋_GB2312" w:hAnsi="Times New Roman" w:eastAsia="仿宋_GB2312"/>
              <w:sz w:val="28"/>
              <w:szCs w:val="28"/>
              <w:highlight w:val="none"/>
            </w:rPr>
            <w:fldChar w:fldCharType="begin"/>
          </w:r>
          <w:r>
            <w:rPr>
              <w:rFonts w:ascii="仿宋_GB2312" w:hAnsi="Times New Roman" w:eastAsia="仿宋_GB2312"/>
              <w:sz w:val="28"/>
              <w:szCs w:val="28"/>
              <w:highlight w:val="none"/>
            </w:rPr>
            <w:instrText xml:space="preserve"> HYPERLINK \l _Toc22262 </w:instrText>
          </w:r>
          <w:r>
            <w:rPr>
              <w:rFonts w:ascii="仿宋_GB2312" w:hAnsi="Times New Roman" w:eastAsia="仿宋_GB2312"/>
              <w:sz w:val="28"/>
              <w:szCs w:val="28"/>
              <w:highlight w:val="none"/>
            </w:rPr>
            <w:fldChar w:fldCharType="separate"/>
          </w:r>
          <w:r>
            <w:rPr>
              <w:rFonts w:hint="eastAsia" w:ascii="Times New Roman" w:hAnsi="Times New Roman" w:cs="Times New Roman"/>
              <w:sz w:val="28"/>
              <w:szCs w:val="28"/>
              <w:highlight w:val="none"/>
              <w:lang w:val="en-US" w:eastAsia="zh-CN"/>
            </w:rPr>
            <w:t>十二</w:t>
          </w:r>
          <w:r>
            <w:rPr>
              <w:rFonts w:hint="eastAsia" w:ascii="Times New Roman" w:hAnsi="Times New Roman" w:cs="Times New Roman"/>
              <w:sz w:val="28"/>
              <w:szCs w:val="28"/>
              <w:highlight w:val="none"/>
            </w:rPr>
            <w:t>、其他</w:t>
          </w:r>
          <w:r>
            <w:rPr>
              <w:sz w:val="28"/>
              <w:szCs w:val="28"/>
            </w:rPr>
            <w:tab/>
          </w:r>
          <w:r>
            <w:rPr>
              <w:sz w:val="28"/>
              <w:szCs w:val="28"/>
            </w:rPr>
            <w:fldChar w:fldCharType="begin"/>
          </w:r>
          <w:r>
            <w:rPr>
              <w:sz w:val="28"/>
              <w:szCs w:val="28"/>
            </w:rPr>
            <w:instrText xml:space="preserve"> PAGEREF _Toc22262 \h </w:instrText>
          </w:r>
          <w:r>
            <w:rPr>
              <w:sz w:val="28"/>
              <w:szCs w:val="28"/>
            </w:rPr>
            <w:fldChar w:fldCharType="separate"/>
          </w:r>
          <w:r>
            <w:rPr>
              <w:sz w:val="28"/>
              <w:szCs w:val="28"/>
            </w:rPr>
            <w:t>9</w:t>
          </w:r>
          <w:r>
            <w:rPr>
              <w:sz w:val="28"/>
              <w:szCs w:val="28"/>
            </w:rPr>
            <w:fldChar w:fldCharType="end"/>
          </w:r>
          <w:r>
            <w:rPr>
              <w:rFonts w:ascii="仿宋_GB2312" w:hAnsi="Times New Roman" w:eastAsia="仿宋_GB2312"/>
              <w:sz w:val="28"/>
              <w:szCs w:val="28"/>
              <w:highlight w:val="none"/>
            </w:rPr>
            <w:fldChar w:fldCharType="end"/>
          </w:r>
        </w:p>
        <w:p w14:paraId="7F42E543">
          <w:pPr>
            <w:pStyle w:val="12"/>
            <w:tabs>
              <w:tab w:val="right" w:leader="dot" w:pos="8788"/>
            </w:tabs>
            <w:rPr>
              <w:sz w:val="28"/>
              <w:szCs w:val="28"/>
            </w:rPr>
          </w:pPr>
          <w:r>
            <w:rPr>
              <w:rFonts w:ascii="仿宋_GB2312" w:hAnsi="Times New Roman" w:eastAsia="仿宋_GB2312"/>
              <w:sz w:val="28"/>
              <w:szCs w:val="28"/>
              <w:highlight w:val="none"/>
            </w:rPr>
            <w:fldChar w:fldCharType="begin"/>
          </w:r>
          <w:r>
            <w:rPr>
              <w:rFonts w:ascii="仿宋_GB2312" w:hAnsi="Times New Roman" w:eastAsia="仿宋_GB2312"/>
              <w:sz w:val="28"/>
              <w:szCs w:val="28"/>
              <w:highlight w:val="none"/>
            </w:rPr>
            <w:instrText xml:space="preserve"> HYPERLINK \l _Toc25232 </w:instrText>
          </w:r>
          <w:r>
            <w:rPr>
              <w:rFonts w:ascii="仿宋_GB2312" w:hAnsi="Times New Roman" w:eastAsia="仿宋_GB2312"/>
              <w:sz w:val="28"/>
              <w:szCs w:val="28"/>
              <w:highlight w:val="none"/>
            </w:rPr>
            <w:fldChar w:fldCharType="separate"/>
          </w:r>
          <w:r>
            <w:rPr>
              <w:rFonts w:hint="eastAsia" w:ascii="黑体" w:hAnsi="黑体" w:cs="Times New Roman"/>
              <w:sz w:val="28"/>
              <w:szCs w:val="28"/>
              <w:highlight w:val="none"/>
              <w:lang w:val="en-US" w:eastAsia="zh-CN"/>
            </w:rPr>
            <w:t>十三、附件</w:t>
          </w:r>
          <w:r>
            <w:rPr>
              <w:sz w:val="28"/>
              <w:szCs w:val="28"/>
            </w:rPr>
            <w:tab/>
          </w:r>
          <w:r>
            <w:rPr>
              <w:sz w:val="28"/>
              <w:szCs w:val="28"/>
            </w:rPr>
            <w:fldChar w:fldCharType="begin"/>
          </w:r>
          <w:r>
            <w:rPr>
              <w:sz w:val="28"/>
              <w:szCs w:val="28"/>
            </w:rPr>
            <w:instrText xml:space="preserve"> PAGEREF _Toc25232 \h </w:instrText>
          </w:r>
          <w:r>
            <w:rPr>
              <w:sz w:val="28"/>
              <w:szCs w:val="28"/>
            </w:rPr>
            <w:fldChar w:fldCharType="separate"/>
          </w:r>
          <w:r>
            <w:rPr>
              <w:sz w:val="28"/>
              <w:szCs w:val="28"/>
            </w:rPr>
            <w:t>13</w:t>
          </w:r>
          <w:r>
            <w:rPr>
              <w:sz w:val="28"/>
              <w:szCs w:val="28"/>
            </w:rPr>
            <w:fldChar w:fldCharType="end"/>
          </w:r>
          <w:r>
            <w:rPr>
              <w:rFonts w:ascii="仿宋_GB2312" w:hAnsi="Times New Roman" w:eastAsia="仿宋_GB2312"/>
              <w:sz w:val="28"/>
              <w:szCs w:val="28"/>
              <w:highlight w:val="none"/>
            </w:rPr>
            <w:fldChar w:fldCharType="end"/>
          </w:r>
        </w:p>
        <w:p w14:paraId="6979BF9F">
          <w:pPr>
            <w:pStyle w:val="14"/>
            <w:tabs>
              <w:tab w:val="right" w:leader="dot" w:pos="8778"/>
            </w:tabs>
            <w:spacing w:line="0" w:lineRule="atLeast"/>
            <w:rPr>
              <w:rFonts w:ascii="仿宋_GB2312" w:hAnsi="Times New Roman" w:eastAsia="仿宋_GB2312" w:cs="Times New Roman"/>
              <w:kern w:val="0"/>
              <w:sz w:val="22"/>
              <w:szCs w:val="24"/>
              <w:highlight w:val="none"/>
              <w:lang w:val="en-US" w:eastAsia="zh-CN" w:bidi="ar-SA"/>
            </w:rPr>
          </w:pPr>
          <w:r>
            <w:rPr>
              <w:rFonts w:ascii="仿宋_GB2312" w:hAnsi="Times New Roman" w:eastAsia="仿宋_GB2312"/>
              <w:szCs w:val="24"/>
              <w:highlight w:val="none"/>
            </w:rPr>
            <w:fldChar w:fldCharType="end"/>
          </w:r>
        </w:p>
      </w:sdtContent>
    </w:sdt>
    <w:p w14:paraId="0909344B">
      <w:pPr>
        <w:rPr>
          <w:highlight w:val="none"/>
        </w:rPr>
        <w:sectPr>
          <w:type w:val="continuous"/>
          <w:pgSz w:w="11906" w:h="16838"/>
          <w:pgMar w:top="2041" w:right="1559" w:bottom="1701" w:left="1559" w:header="851" w:footer="992" w:gutter="0"/>
          <w:pgNumType w:start="0"/>
          <w:cols w:space="425" w:num="1"/>
          <w:titlePg/>
          <w:docGrid w:type="lines" w:linePitch="312" w:charSpace="0"/>
        </w:sectPr>
      </w:pPr>
    </w:p>
    <w:p w14:paraId="7135DF92">
      <w:pPr>
        <w:pStyle w:val="5"/>
        <w:numPr>
          <w:ilvl w:val="0"/>
          <w:numId w:val="0"/>
        </w:numPr>
        <w:ind w:firstLine="640" w:firstLineChars="200"/>
        <w:rPr>
          <w:rFonts w:hint="default" w:ascii="Times New Roman" w:hAnsi="Times New Roman" w:eastAsia="仿宋_GB2312" w:cs="Times New Roman"/>
          <w:sz w:val="32"/>
          <w:szCs w:val="32"/>
          <w:highlight w:val="none"/>
          <w:lang w:val="en-US" w:eastAsia="zh-CN"/>
        </w:rPr>
      </w:pPr>
      <w:bookmarkStart w:id="6" w:name="_Toc86750480"/>
      <w:bookmarkStart w:id="7" w:name="_Toc87519574"/>
      <w:r>
        <w:rPr>
          <w:rFonts w:hint="eastAsia" w:ascii="Times New Roman" w:hAnsi="Times New Roman" w:eastAsia="仿宋_GB2312" w:cs="Times New Roman"/>
          <w:sz w:val="32"/>
          <w:szCs w:val="32"/>
          <w:highlight w:val="none"/>
          <w:lang w:val="en-US" w:eastAsia="zh-CN"/>
        </w:rPr>
        <w:t>根据山东省医疗保障局工作安排，山东省公共资源交易中心组织本次集中带量采购工作。</w:t>
      </w:r>
    </w:p>
    <w:p w14:paraId="7D476AD9">
      <w:pPr>
        <w:pStyle w:val="3"/>
        <w:ind w:firstLine="640"/>
        <w:outlineLvl w:val="0"/>
        <w:rPr>
          <w:rFonts w:hint="default" w:ascii="Times New Roman" w:hAnsi="Times New Roman" w:eastAsia="黑体" w:cs="Times New Roman"/>
          <w:sz w:val="32"/>
          <w:highlight w:val="none"/>
          <w:lang w:val="en-US" w:eastAsia="zh-CN"/>
        </w:rPr>
      </w:pPr>
      <w:bookmarkStart w:id="8" w:name="_Toc30857"/>
      <w:r>
        <w:rPr>
          <w:rFonts w:hint="eastAsia" w:ascii="Times New Roman" w:hAnsi="Times New Roman" w:cs="Times New Roman"/>
          <w:sz w:val="32"/>
          <w:highlight w:val="none"/>
        </w:rPr>
        <w:t>一、采购品种范围</w:t>
      </w:r>
      <w:bookmarkEnd w:id="6"/>
      <w:bookmarkEnd w:id="7"/>
      <w:r>
        <w:rPr>
          <w:rFonts w:hint="eastAsia" w:ascii="Times New Roman" w:hAnsi="Times New Roman" w:cs="Times New Roman"/>
          <w:sz w:val="32"/>
          <w:highlight w:val="none"/>
          <w:lang w:val="en-US" w:eastAsia="zh-CN"/>
        </w:rPr>
        <w:t>及分组</w:t>
      </w:r>
      <w:bookmarkEnd w:id="8"/>
    </w:p>
    <w:tbl>
      <w:tblPr>
        <w:tblStyle w:val="18"/>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2111"/>
        <w:gridCol w:w="6143"/>
      </w:tblGrid>
      <w:tr w14:paraId="45F2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trPr>
        <w:tc>
          <w:tcPr>
            <w:tcW w:w="804" w:type="dxa"/>
            <w:vAlign w:val="center"/>
          </w:tcPr>
          <w:p w14:paraId="25D831A5">
            <w:pPr>
              <w:widowControl w:val="0"/>
              <w:jc w:val="center"/>
              <w:rPr>
                <w:rFonts w:hint="eastAsia" w:ascii="黑体" w:hAnsi="黑体" w:eastAsia="黑体" w:cs="黑体"/>
                <w:b w:val="0"/>
                <w:bCs/>
                <w:i w:val="0"/>
                <w:iCs w:val="0"/>
                <w:caps w:val="0"/>
                <w:color w:val="000000"/>
                <w:spacing w:val="0"/>
                <w:sz w:val="28"/>
                <w:szCs w:val="28"/>
                <w:highlight w:val="none"/>
                <w:shd w:val="clear" w:fill="FCFCFC"/>
                <w:vertAlign w:val="baseline"/>
                <w:lang w:val="en-US" w:eastAsia="zh-CN"/>
              </w:rPr>
            </w:pPr>
            <w:bookmarkStart w:id="9" w:name="_Toc88153581"/>
            <w:bookmarkStart w:id="10" w:name="_Toc86750481"/>
            <w:bookmarkStart w:id="11" w:name="_Toc87519575"/>
            <w:r>
              <w:rPr>
                <w:rFonts w:hint="eastAsia" w:ascii="黑体" w:hAnsi="黑体" w:eastAsia="黑体" w:cs="黑体"/>
                <w:b w:val="0"/>
                <w:bCs/>
                <w:sz w:val="32"/>
                <w:szCs w:val="32"/>
                <w:highlight w:val="none"/>
                <w:lang w:val="en-US" w:eastAsia="zh-CN"/>
              </w:rPr>
              <w:br w:type="page"/>
            </w:r>
            <w:r>
              <w:rPr>
                <w:rFonts w:hint="eastAsia" w:ascii="黑体" w:hAnsi="黑体" w:eastAsia="黑体" w:cs="黑体"/>
                <w:b w:val="0"/>
                <w:bCs/>
                <w:i w:val="0"/>
                <w:iCs w:val="0"/>
                <w:caps w:val="0"/>
                <w:color w:val="000000"/>
                <w:spacing w:val="0"/>
                <w:sz w:val="28"/>
                <w:szCs w:val="28"/>
                <w:highlight w:val="none"/>
                <w:shd w:val="clear" w:fill="FCFCFC"/>
                <w:vertAlign w:val="baseline"/>
                <w:lang w:val="en-US" w:eastAsia="zh-CN"/>
              </w:rPr>
              <w:t>序号</w:t>
            </w:r>
          </w:p>
        </w:tc>
        <w:tc>
          <w:tcPr>
            <w:tcW w:w="2111" w:type="dxa"/>
            <w:vAlign w:val="center"/>
          </w:tcPr>
          <w:p w14:paraId="6926FD85">
            <w:pPr>
              <w:keepNext w:val="0"/>
              <w:keepLines w:val="0"/>
              <w:pageBreakBefore w:val="0"/>
              <w:widowControl w:val="0"/>
              <w:kinsoku/>
              <w:wordWrap/>
              <w:overflowPunct/>
              <w:topLinePunct w:val="0"/>
              <w:autoSpaceDE/>
              <w:autoSpaceDN/>
              <w:bidi w:val="0"/>
              <w:adjustRightInd/>
              <w:snapToGrid/>
              <w:spacing w:line="340" w:lineRule="exact"/>
              <w:jc w:val="center"/>
              <w:rPr>
                <w:rFonts w:hint="eastAsia" w:ascii="黑体" w:hAnsi="黑体" w:eastAsia="黑体" w:cs="黑体"/>
                <w:b w:val="0"/>
                <w:bCs/>
                <w:i w:val="0"/>
                <w:iCs w:val="0"/>
                <w:caps w:val="0"/>
                <w:color w:val="000000"/>
                <w:spacing w:val="0"/>
                <w:sz w:val="28"/>
                <w:szCs w:val="28"/>
                <w:highlight w:val="none"/>
                <w:shd w:val="clear" w:fill="FCFCFC"/>
                <w:vertAlign w:val="baseline"/>
                <w:lang w:val="en-US" w:eastAsia="zh-CN"/>
              </w:rPr>
            </w:pPr>
            <w:r>
              <w:rPr>
                <w:rFonts w:hint="eastAsia" w:ascii="黑体" w:hAnsi="黑体" w:eastAsia="黑体" w:cs="黑体"/>
                <w:b w:val="0"/>
                <w:bCs/>
                <w:i w:val="0"/>
                <w:iCs w:val="0"/>
                <w:caps w:val="0"/>
                <w:color w:val="000000"/>
                <w:spacing w:val="0"/>
                <w:sz w:val="28"/>
                <w:szCs w:val="28"/>
                <w:highlight w:val="none"/>
                <w:shd w:val="clear" w:fill="FCFCFC"/>
                <w:vertAlign w:val="baseline"/>
                <w:lang w:val="en-US" w:eastAsia="zh-CN"/>
              </w:rPr>
              <w:t>采购品种</w:t>
            </w:r>
          </w:p>
        </w:tc>
        <w:tc>
          <w:tcPr>
            <w:tcW w:w="6143" w:type="dxa"/>
            <w:vAlign w:val="center"/>
          </w:tcPr>
          <w:p w14:paraId="50D0D6F5">
            <w:pPr>
              <w:keepNext w:val="0"/>
              <w:keepLines w:val="0"/>
              <w:pageBreakBefore w:val="0"/>
              <w:widowControl w:val="0"/>
              <w:kinsoku/>
              <w:wordWrap/>
              <w:overflowPunct/>
              <w:topLinePunct w:val="0"/>
              <w:autoSpaceDE/>
              <w:autoSpaceDN/>
              <w:bidi w:val="0"/>
              <w:adjustRightInd/>
              <w:snapToGrid/>
              <w:spacing w:line="340" w:lineRule="exact"/>
              <w:jc w:val="center"/>
              <w:rPr>
                <w:rFonts w:hint="eastAsia" w:ascii="黑体" w:hAnsi="黑体" w:eastAsia="黑体" w:cs="黑体"/>
                <w:b w:val="0"/>
                <w:bCs/>
                <w:i w:val="0"/>
                <w:iCs w:val="0"/>
                <w:caps w:val="0"/>
                <w:color w:val="000000"/>
                <w:spacing w:val="0"/>
                <w:sz w:val="28"/>
                <w:szCs w:val="28"/>
                <w:highlight w:val="none"/>
                <w:shd w:val="clear" w:fill="FCFCFC"/>
                <w:vertAlign w:val="baseline"/>
                <w:lang w:val="en-US" w:eastAsia="zh-CN"/>
              </w:rPr>
            </w:pPr>
            <w:r>
              <w:rPr>
                <w:rFonts w:hint="eastAsia" w:ascii="黑体" w:hAnsi="黑体" w:eastAsia="黑体" w:cs="黑体"/>
                <w:b w:val="0"/>
                <w:bCs/>
                <w:i w:val="0"/>
                <w:iCs w:val="0"/>
                <w:caps w:val="0"/>
                <w:color w:val="000000"/>
                <w:spacing w:val="0"/>
                <w:sz w:val="28"/>
                <w:szCs w:val="28"/>
                <w:highlight w:val="none"/>
                <w:shd w:val="clear" w:fill="FCFCFC"/>
                <w:vertAlign w:val="baseline"/>
                <w:lang w:val="en-US" w:eastAsia="zh-CN"/>
              </w:rPr>
              <w:t>采购单元</w:t>
            </w:r>
          </w:p>
        </w:tc>
      </w:tr>
      <w:tr w14:paraId="1B242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04" w:type="dxa"/>
            <w:vMerge w:val="restart"/>
            <w:vAlign w:val="center"/>
          </w:tcPr>
          <w:p w14:paraId="3C7BFCC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1</w:t>
            </w:r>
          </w:p>
        </w:tc>
        <w:tc>
          <w:tcPr>
            <w:tcW w:w="2111" w:type="dxa"/>
            <w:vMerge w:val="restart"/>
            <w:vAlign w:val="center"/>
          </w:tcPr>
          <w:p w14:paraId="3DBF3FE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造影导管</w:t>
            </w:r>
          </w:p>
        </w:tc>
        <w:tc>
          <w:tcPr>
            <w:tcW w:w="6143" w:type="dxa"/>
            <w:vAlign w:val="center"/>
          </w:tcPr>
          <w:p w14:paraId="7B46035A">
            <w:pPr>
              <w:keepNext w:val="0"/>
              <w:keepLines w:val="0"/>
              <w:pageBreakBefore w:val="0"/>
              <w:widowControl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普通型</w:t>
            </w:r>
          </w:p>
        </w:tc>
      </w:tr>
      <w:tr w14:paraId="52156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04" w:type="dxa"/>
            <w:vMerge w:val="continue"/>
            <w:vAlign w:val="center"/>
          </w:tcPr>
          <w:p w14:paraId="76897F4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2111" w:type="dxa"/>
            <w:vMerge w:val="continue"/>
            <w:vAlign w:val="center"/>
          </w:tcPr>
          <w:p w14:paraId="5E5A8FC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6143" w:type="dxa"/>
            <w:vAlign w:val="center"/>
          </w:tcPr>
          <w:p w14:paraId="6225BF11">
            <w:pPr>
              <w:keepNext w:val="0"/>
              <w:keepLines w:val="0"/>
              <w:pageBreakBefore w:val="0"/>
              <w:widowControl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亲水型</w:t>
            </w:r>
          </w:p>
        </w:tc>
      </w:tr>
      <w:tr w14:paraId="6E86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04" w:type="dxa"/>
            <w:vMerge w:val="continue"/>
            <w:vAlign w:val="center"/>
          </w:tcPr>
          <w:p w14:paraId="17A7679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2111" w:type="dxa"/>
            <w:vMerge w:val="continue"/>
            <w:vAlign w:val="center"/>
          </w:tcPr>
          <w:p w14:paraId="5B7F400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6143" w:type="dxa"/>
            <w:vAlign w:val="center"/>
          </w:tcPr>
          <w:p w14:paraId="3FB4497D">
            <w:pPr>
              <w:keepNext w:val="0"/>
              <w:keepLines w:val="0"/>
              <w:pageBreakBefore w:val="0"/>
              <w:widowControl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标测导管</w:t>
            </w:r>
          </w:p>
        </w:tc>
      </w:tr>
      <w:tr w14:paraId="2915B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04" w:type="dxa"/>
            <w:vMerge w:val="restart"/>
            <w:vAlign w:val="center"/>
          </w:tcPr>
          <w:p w14:paraId="662A411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2</w:t>
            </w:r>
          </w:p>
        </w:tc>
        <w:tc>
          <w:tcPr>
            <w:tcW w:w="2111" w:type="dxa"/>
            <w:vMerge w:val="restart"/>
            <w:vAlign w:val="center"/>
          </w:tcPr>
          <w:p w14:paraId="22FBB42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造影导丝</w:t>
            </w:r>
          </w:p>
        </w:tc>
        <w:tc>
          <w:tcPr>
            <w:tcW w:w="6143" w:type="dxa"/>
            <w:vAlign w:val="center"/>
          </w:tcPr>
          <w:p w14:paraId="7AD1FDF7">
            <w:pPr>
              <w:pStyle w:val="7"/>
              <w:keepNext w:val="0"/>
              <w:keepLines w:val="0"/>
              <w:pageBreakBefore w:val="0"/>
              <w:widowControl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普通型（长度＞180CM）</w:t>
            </w:r>
          </w:p>
        </w:tc>
      </w:tr>
      <w:tr w14:paraId="7399F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04" w:type="dxa"/>
            <w:vMerge w:val="continue"/>
            <w:vAlign w:val="center"/>
          </w:tcPr>
          <w:p w14:paraId="4500E88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sz w:val="28"/>
                <w:szCs w:val="28"/>
                <w:highlight w:val="none"/>
              </w:rPr>
            </w:pPr>
          </w:p>
        </w:tc>
        <w:tc>
          <w:tcPr>
            <w:tcW w:w="2111" w:type="dxa"/>
            <w:vMerge w:val="continue"/>
            <w:vAlign w:val="center"/>
          </w:tcPr>
          <w:p w14:paraId="7BFA47B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sz w:val="28"/>
                <w:szCs w:val="28"/>
                <w:highlight w:val="none"/>
              </w:rPr>
            </w:pPr>
          </w:p>
        </w:tc>
        <w:tc>
          <w:tcPr>
            <w:tcW w:w="6143" w:type="dxa"/>
            <w:vAlign w:val="center"/>
          </w:tcPr>
          <w:p w14:paraId="3233485F">
            <w:pPr>
              <w:pStyle w:val="7"/>
              <w:keepNext w:val="0"/>
              <w:keepLines w:val="0"/>
              <w:pageBreakBefore w:val="0"/>
              <w:widowControl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普通型（长度≤180CM）</w:t>
            </w:r>
          </w:p>
        </w:tc>
      </w:tr>
      <w:tr w14:paraId="1E8E0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04" w:type="dxa"/>
            <w:vMerge w:val="continue"/>
            <w:vAlign w:val="center"/>
          </w:tcPr>
          <w:p w14:paraId="636325E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2111" w:type="dxa"/>
            <w:vMerge w:val="continue"/>
            <w:vAlign w:val="center"/>
          </w:tcPr>
          <w:p w14:paraId="56729D7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6143" w:type="dxa"/>
            <w:vAlign w:val="center"/>
          </w:tcPr>
          <w:p w14:paraId="7EE4EAFD">
            <w:pPr>
              <w:pStyle w:val="7"/>
              <w:keepNext w:val="0"/>
              <w:keepLines w:val="0"/>
              <w:pageBreakBefore w:val="0"/>
              <w:widowControl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亲水型（长度＞180CM）</w:t>
            </w:r>
          </w:p>
        </w:tc>
      </w:tr>
      <w:tr w14:paraId="04E7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04" w:type="dxa"/>
            <w:vMerge w:val="continue"/>
            <w:vAlign w:val="center"/>
          </w:tcPr>
          <w:p w14:paraId="64591D8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sz w:val="28"/>
                <w:szCs w:val="28"/>
                <w:highlight w:val="none"/>
              </w:rPr>
            </w:pPr>
          </w:p>
        </w:tc>
        <w:tc>
          <w:tcPr>
            <w:tcW w:w="2111" w:type="dxa"/>
            <w:vMerge w:val="continue"/>
            <w:vAlign w:val="center"/>
          </w:tcPr>
          <w:p w14:paraId="06D9A0D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sz w:val="28"/>
                <w:szCs w:val="28"/>
                <w:highlight w:val="none"/>
              </w:rPr>
            </w:pPr>
          </w:p>
        </w:tc>
        <w:tc>
          <w:tcPr>
            <w:tcW w:w="6143" w:type="dxa"/>
            <w:vAlign w:val="center"/>
          </w:tcPr>
          <w:p w14:paraId="42209211">
            <w:pPr>
              <w:pStyle w:val="7"/>
              <w:keepNext w:val="0"/>
              <w:keepLines w:val="0"/>
              <w:pageBreakBefore w:val="0"/>
              <w:widowControl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亲水型（长度≤180CM）</w:t>
            </w:r>
          </w:p>
        </w:tc>
      </w:tr>
      <w:tr w14:paraId="2E16C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04" w:type="dxa"/>
            <w:vMerge w:val="restart"/>
            <w:vAlign w:val="center"/>
          </w:tcPr>
          <w:p w14:paraId="2521682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000000"/>
                <w:kern w:val="0"/>
                <w:sz w:val="28"/>
                <w:szCs w:val="28"/>
                <w:highlight w:val="none"/>
                <w:u w:val="none"/>
                <w:lang w:val="en-US" w:eastAsia="zh-CN" w:bidi="ar"/>
              </w:rPr>
            </w:pPr>
            <w:r>
              <w:rPr>
                <w:rFonts w:hint="eastAsia" w:ascii="仿宋_GB2312" w:hAnsi="仿宋_GB2312" w:eastAsia="仿宋_GB2312" w:cs="仿宋_GB2312"/>
                <w:i w:val="0"/>
                <w:color w:val="000000"/>
                <w:kern w:val="0"/>
                <w:sz w:val="28"/>
                <w:szCs w:val="28"/>
                <w:highlight w:val="none"/>
                <w:u w:val="none"/>
                <w:lang w:val="en-US" w:eastAsia="zh-CN" w:bidi="ar"/>
              </w:rPr>
              <w:t>3</w:t>
            </w:r>
          </w:p>
        </w:tc>
        <w:tc>
          <w:tcPr>
            <w:tcW w:w="2111" w:type="dxa"/>
            <w:vMerge w:val="restart"/>
            <w:vAlign w:val="center"/>
          </w:tcPr>
          <w:p w14:paraId="56E5E5E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color w:val="000000"/>
                <w:kern w:val="0"/>
                <w:sz w:val="28"/>
                <w:szCs w:val="28"/>
                <w:highlight w:val="none"/>
                <w:u w:val="none"/>
                <w:lang w:val="en-US" w:eastAsia="zh-CN" w:bidi="ar"/>
              </w:rPr>
              <w:t>中心静脉导管（cvc）</w:t>
            </w:r>
          </w:p>
        </w:tc>
        <w:tc>
          <w:tcPr>
            <w:tcW w:w="6143" w:type="dxa"/>
            <w:vAlign w:val="center"/>
          </w:tcPr>
          <w:p w14:paraId="1A53435A">
            <w:pPr>
              <w:keepNext w:val="0"/>
              <w:keepLines w:val="0"/>
              <w:pageBreakBefore w:val="0"/>
              <w:widowControl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单腔型</w:t>
            </w:r>
          </w:p>
        </w:tc>
      </w:tr>
      <w:tr w14:paraId="1274A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04" w:type="dxa"/>
            <w:vMerge w:val="continue"/>
            <w:vAlign w:val="center"/>
          </w:tcPr>
          <w:p w14:paraId="08C0085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sz w:val="28"/>
                <w:szCs w:val="28"/>
                <w:highlight w:val="none"/>
              </w:rPr>
            </w:pPr>
          </w:p>
        </w:tc>
        <w:tc>
          <w:tcPr>
            <w:tcW w:w="2111" w:type="dxa"/>
            <w:vMerge w:val="continue"/>
            <w:vAlign w:val="center"/>
          </w:tcPr>
          <w:p w14:paraId="45D9698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sz w:val="28"/>
                <w:szCs w:val="28"/>
                <w:highlight w:val="none"/>
              </w:rPr>
            </w:pPr>
          </w:p>
        </w:tc>
        <w:tc>
          <w:tcPr>
            <w:tcW w:w="6143" w:type="dxa"/>
            <w:vAlign w:val="center"/>
          </w:tcPr>
          <w:p w14:paraId="6B7EBE47">
            <w:pPr>
              <w:keepNext w:val="0"/>
              <w:keepLines w:val="0"/>
              <w:pageBreakBefore w:val="0"/>
              <w:widowControl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双腔型</w:t>
            </w:r>
          </w:p>
        </w:tc>
      </w:tr>
      <w:tr w14:paraId="22E65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04" w:type="dxa"/>
            <w:vMerge w:val="continue"/>
            <w:vAlign w:val="center"/>
          </w:tcPr>
          <w:p w14:paraId="28F03F0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2111" w:type="dxa"/>
            <w:vMerge w:val="continue"/>
            <w:vAlign w:val="center"/>
          </w:tcPr>
          <w:p w14:paraId="4255212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6143" w:type="dxa"/>
            <w:vAlign w:val="center"/>
          </w:tcPr>
          <w:p w14:paraId="6590A62F">
            <w:pPr>
              <w:keepNext w:val="0"/>
              <w:keepLines w:val="0"/>
              <w:pageBreakBefore w:val="0"/>
              <w:widowControl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多腔型</w:t>
            </w:r>
          </w:p>
        </w:tc>
      </w:tr>
      <w:tr w14:paraId="18CE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04" w:type="dxa"/>
            <w:vMerge w:val="restart"/>
            <w:vAlign w:val="center"/>
          </w:tcPr>
          <w:p w14:paraId="5C5A7AB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4</w:t>
            </w:r>
          </w:p>
        </w:tc>
        <w:tc>
          <w:tcPr>
            <w:tcW w:w="2111" w:type="dxa"/>
            <w:vMerge w:val="restart"/>
            <w:vAlign w:val="center"/>
          </w:tcPr>
          <w:p w14:paraId="6C0F568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color w:val="000000"/>
                <w:kern w:val="0"/>
                <w:sz w:val="28"/>
                <w:szCs w:val="28"/>
                <w:highlight w:val="none"/>
                <w:u w:val="none"/>
                <w:lang w:val="en-US" w:eastAsia="zh-CN" w:bidi="ar"/>
              </w:rPr>
              <w:t>经外周中心静脉导管（PICC）</w:t>
            </w:r>
          </w:p>
        </w:tc>
        <w:tc>
          <w:tcPr>
            <w:tcW w:w="6143" w:type="dxa"/>
            <w:vAlign w:val="center"/>
          </w:tcPr>
          <w:p w14:paraId="327657E6">
            <w:pPr>
              <w:keepNext w:val="0"/>
              <w:keepLines w:val="0"/>
              <w:pageBreakBefore w:val="0"/>
              <w:widowControl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普通型</w:t>
            </w:r>
          </w:p>
        </w:tc>
      </w:tr>
      <w:tr w14:paraId="09CB5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04" w:type="dxa"/>
            <w:vMerge w:val="continue"/>
            <w:vAlign w:val="center"/>
          </w:tcPr>
          <w:p w14:paraId="685E397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sz w:val="28"/>
                <w:szCs w:val="28"/>
                <w:highlight w:val="none"/>
              </w:rPr>
            </w:pPr>
          </w:p>
        </w:tc>
        <w:tc>
          <w:tcPr>
            <w:tcW w:w="2111" w:type="dxa"/>
            <w:vMerge w:val="continue"/>
            <w:vAlign w:val="center"/>
          </w:tcPr>
          <w:p w14:paraId="144D8F8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sz w:val="28"/>
                <w:szCs w:val="28"/>
                <w:highlight w:val="none"/>
              </w:rPr>
            </w:pPr>
          </w:p>
        </w:tc>
        <w:tc>
          <w:tcPr>
            <w:tcW w:w="6143" w:type="dxa"/>
            <w:vAlign w:val="center"/>
          </w:tcPr>
          <w:p w14:paraId="5A418647">
            <w:pPr>
              <w:keepNext w:val="0"/>
              <w:keepLines w:val="0"/>
              <w:pageBreakBefore w:val="0"/>
              <w:widowControl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耐高压型</w:t>
            </w:r>
          </w:p>
        </w:tc>
      </w:tr>
      <w:tr w14:paraId="12A2A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04" w:type="dxa"/>
            <w:vMerge w:val="continue"/>
            <w:vAlign w:val="center"/>
          </w:tcPr>
          <w:p w14:paraId="7157B0F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2111" w:type="dxa"/>
            <w:vMerge w:val="continue"/>
            <w:vAlign w:val="center"/>
          </w:tcPr>
          <w:p w14:paraId="67DDBD5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6143" w:type="dxa"/>
            <w:vAlign w:val="center"/>
          </w:tcPr>
          <w:p w14:paraId="72DF6B18">
            <w:pPr>
              <w:keepNext w:val="0"/>
              <w:keepLines w:val="0"/>
              <w:pageBreakBefore w:val="0"/>
              <w:widowControl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前端三向瓣膜型</w:t>
            </w:r>
          </w:p>
        </w:tc>
      </w:tr>
      <w:tr w14:paraId="41C55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04" w:type="dxa"/>
            <w:vMerge w:val="restart"/>
            <w:vAlign w:val="center"/>
          </w:tcPr>
          <w:p w14:paraId="1039F68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5</w:t>
            </w:r>
          </w:p>
        </w:tc>
        <w:tc>
          <w:tcPr>
            <w:tcW w:w="2111" w:type="dxa"/>
            <w:vMerge w:val="restart"/>
            <w:vAlign w:val="center"/>
          </w:tcPr>
          <w:p w14:paraId="0927154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输液港</w:t>
            </w:r>
          </w:p>
        </w:tc>
        <w:tc>
          <w:tcPr>
            <w:tcW w:w="6143" w:type="dxa"/>
            <w:vAlign w:val="center"/>
          </w:tcPr>
          <w:p w14:paraId="03674A34">
            <w:pPr>
              <w:pStyle w:val="7"/>
              <w:keepNext w:val="0"/>
              <w:keepLines w:val="0"/>
              <w:pageBreakBefore w:val="0"/>
              <w:widowControl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静脉型（非耐高压型）</w:t>
            </w:r>
          </w:p>
        </w:tc>
      </w:tr>
      <w:tr w14:paraId="59B37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04" w:type="dxa"/>
            <w:vMerge w:val="continue"/>
            <w:vAlign w:val="center"/>
          </w:tcPr>
          <w:p w14:paraId="34C7031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sz w:val="28"/>
                <w:szCs w:val="28"/>
                <w:highlight w:val="none"/>
              </w:rPr>
            </w:pPr>
          </w:p>
        </w:tc>
        <w:tc>
          <w:tcPr>
            <w:tcW w:w="2111" w:type="dxa"/>
            <w:vMerge w:val="continue"/>
            <w:vAlign w:val="center"/>
          </w:tcPr>
          <w:p w14:paraId="2A4813F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6143" w:type="dxa"/>
            <w:vAlign w:val="center"/>
          </w:tcPr>
          <w:p w14:paraId="0DC6A4EC">
            <w:pPr>
              <w:pStyle w:val="7"/>
              <w:keepNext w:val="0"/>
              <w:keepLines w:val="0"/>
              <w:pageBreakBefore w:val="0"/>
              <w:widowControl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静脉型（耐高压型）</w:t>
            </w:r>
          </w:p>
        </w:tc>
      </w:tr>
      <w:tr w14:paraId="04EF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04" w:type="dxa"/>
            <w:vMerge w:val="continue"/>
            <w:vAlign w:val="center"/>
          </w:tcPr>
          <w:p w14:paraId="0E7CED3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2111" w:type="dxa"/>
            <w:vMerge w:val="continue"/>
            <w:vAlign w:val="center"/>
          </w:tcPr>
          <w:p w14:paraId="182BFFC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6143" w:type="dxa"/>
            <w:vAlign w:val="center"/>
          </w:tcPr>
          <w:p w14:paraId="3DE8D57D">
            <w:pPr>
              <w:keepNext w:val="0"/>
              <w:keepLines w:val="0"/>
              <w:pageBreakBefore w:val="0"/>
              <w:widowControl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动脉型</w:t>
            </w:r>
          </w:p>
        </w:tc>
      </w:tr>
      <w:tr w14:paraId="2B9D9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blHeader/>
        </w:trPr>
        <w:tc>
          <w:tcPr>
            <w:tcW w:w="804" w:type="dxa"/>
            <w:vMerge w:val="continue"/>
            <w:vAlign w:val="center"/>
          </w:tcPr>
          <w:p w14:paraId="6481BF0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2111" w:type="dxa"/>
            <w:vMerge w:val="continue"/>
            <w:vAlign w:val="center"/>
          </w:tcPr>
          <w:p w14:paraId="0038433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6143" w:type="dxa"/>
            <w:vAlign w:val="center"/>
          </w:tcPr>
          <w:p w14:paraId="6338141E">
            <w:pPr>
              <w:keepNext w:val="0"/>
              <w:keepLines w:val="0"/>
              <w:pageBreakBefore w:val="0"/>
              <w:widowControl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腹腔型</w:t>
            </w:r>
          </w:p>
        </w:tc>
      </w:tr>
      <w:tr w14:paraId="7283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04" w:type="dxa"/>
            <w:vAlign w:val="center"/>
          </w:tcPr>
          <w:p w14:paraId="4A88D98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6</w:t>
            </w:r>
          </w:p>
        </w:tc>
        <w:tc>
          <w:tcPr>
            <w:tcW w:w="2111" w:type="dxa"/>
            <w:vAlign w:val="center"/>
          </w:tcPr>
          <w:p w14:paraId="2F4C89A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抓捕器</w:t>
            </w:r>
          </w:p>
        </w:tc>
        <w:tc>
          <w:tcPr>
            <w:tcW w:w="6143" w:type="dxa"/>
            <w:vAlign w:val="center"/>
          </w:tcPr>
          <w:p w14:paraId="21CF579B">
            <w:pPr>
              <w:keepNext w:val="0"/>
              <w:keepLines w:val="0"/>
              <w:pageBreakBefore w:val="0"/>
              <w:widowControl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w:t>
            </w:r>
          </w:p>
        </w:tc>
      </w:tr>
      <w:tr w14:paraId="671A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04" w:type="dxa"/>
            <w:vMerge w:val="restart"/>
            <w:vAlign w:val="center"/>
          </w:tcPr>
          <w:p w14:paraId="3397E99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7</w:t>
            </w:r>
          </w:p>
        </w:tc>
        <w:tc>
          <w:tcPr>
            <w:tcW w:w="2111" w:type="dxa"/>
            <w:vMerge w:val="restart"/>
            <w:vAlign w:val="center"/>
          </w:tcPr>
          <w:p w14:paraId="7CEE1ED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血管鞘</w:t>
            </w:r>
          </w:p>
        </w:tc>
        <w:tc>
          <w:tcPr>
            <w:tcW w:w="6143" w:type="dxa"/>
            <w:vAlign w:val="center"/>
          </w:tcPr>
          <w:p w14:paraId="7F10FEDC">
            <w:pPr>
              <w:keepNext w:val="0"/>
              <w:keepLines w:val="0"/>
              <w:pageBreakBefore w:val="0"/>
              <w:widowControl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i w:val="0"/>
                <w:iCs w:val="0"/>
                <w:color w:val="000000"/>
                <w:kern w:val="0"/>
                <w:sz w:val="28"/>
                <w:szCs w:val="28"/>
                <w:highlight w:val="none"/>
                <w:u w:val="none"/>
                <w:lang w:val="en-US" w:eastAsia="zh-CN" w:bidi="ar"/>
              </w:rPr>
              <w:t>普通型</w:t>
            </w:r>
          </w:p>
        </w:tc>
      </w:tr>
      <w:tr w14:paraId="4B2B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04" w:type="dxa"/>
            <w:vMerge w:val="continue"/>
            <w:vAlign w:val="center"/>
          </w:tcPr>
          <w:p w14:paraId="4DBB1F2F">
            <w:pPr>
              <w:pStyle w:val="7"/>
              <w:keepNext w:val="0"/>
              <w:keepLines w:val="0"/>
              <w:pageBreakBefore w:val="0"/>
              <w:widowControl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sz w:val="28"/>
                <w:szCs w:val="28"/>
                <w:highlight w:val="none"/>
              </w:rPr>
            </w:pPr>
          </w:p>
        </w:tc>
        <w:tc>
          <w:tcPr>
            <w:tcW w:w="2111" w:type="dxa"/>
            <w:vMerge w:val="continue"/>
            <w:vAlign w:val="center"/>
          </w:tcPr>
          <w:p w14:paraId="3AB35EB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6143" w:type="dxa"/>
            <w:vAlign w:val="center"/>
          </w:tcPr>
          <w:p w14:paraId="6C2DF01E">
            <w:pPr>
              <w:keepNext w:val="0"/>
              <w:keepLines w:val="0"/>
              <w:pageBreakBefore w:val="0"/>
              <w:widowControl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特殊型</w:t>
            </w:r>
          </w:p>
        </w:tc>
      </w:tr>
      <w:tr w14:paraId="5D96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04" w:type="dxa"/>
            <w:vMerge w:val="restart"/>
            <w:vAlign w:val="center"/>
          </w:tcPr>
          <w:p w14:paraId="0F2F220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8</w:t>
            </w:r>
          </w:p>
        </w:tc>
        <w:tc>
          <w:tcPr>
            <w:tcW w:w="2111" w:type="dxa"/>
            <w:vMerge w:val="restart"/>
            <w:vAlign w:val="center"/>
          </w:tcPr>
          <w:p w14:paraId="5597231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颅骨锁</w:t>
            </w:r>
          </w:p>
        </w:tc>
        <w:tc>
          <w:tcPr>
            <w:tcW w:w="6143" w:type="dxa"/>
            <w:vAlign w:val="center"/>
          </w:tcPr>
          <w:p w14:paraId="51CA3E8C">
            <w:pPr>
              <w:keepNext w:val="0"/>
              <w:keepLines w:val="0"/>
              <w:pageBreakBefore w:val="0"/>
              <w:widowControl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金属颅骨锁</w:t>
            </w:r>
          </w:p>
        </w:tc>
      </w:tr>
      <w:tr w14:paraId="6AE4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04" w:type="dxa"/>
            <w:vMerge w:val="continue"/>
            <w:vAlign w:val="center"/>
          </w:tcPr>
          <w:p w14:paraId="5251466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sz w:val="28"/>
                <w:szCs w:val="28"/>
                <w:highlight w:val="none"/>
              </w:rPr>
            </w:pPr>
          </w:p>
        </w:tc>
        <w:tc>
          <w:tcPr>
            <w:tcW w:w="2111" w:type="dxa"/>
            <w:vMerge w:val="continue"/>
            <w:vAlign w:val="center"/>
          </w:tcPr>
          <w:p w14:paraId="581BC47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sz w:val="28"/>
                <w:szCs w:val="28"/>
                <w:highlight w:val="none"/>
              </w:rPr>
            </w:pPr>
          </w:p>
        </w:tc>
        <w:tc>
          <w:tcPr>
            <w:tcW w:w="6143" w:type="dxa"/>
            <w:vAlign w:val="center"/>
          </w:tcPr>
          <w:p w14:paraId="5BA6087A">
            <w:pPr>
              <w:keepNext w:val="0"/>
              <w:keepLines w:val="0"/>
              <w:pageBreakBefore w:val="0"/>
              <w:widowControl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PEEK颅骨锁</w:t>
            </w:r>
          </w:p>
        </w:tc>
      </w:tr>
      <w:tr w14:paraId="6A8D4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04" w:type="dxa"/>
            <w:vMerge w:val="continue"/>
            <w:vAlign w:val="center"/>
          </w:tcPr>
          <w:p w14:paraId="413F636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2111" w:type="dxa"/>
            <w:vMerge w:val="continue"/>
            <w:vAlign w:val="center"/>
          </w:tcPr>
          <w:p w14:paraId="68CF997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6143" w:type="dxa"/>
            <w:vAlign w:val="center"/>
          </w:tcPr>
          <w:p w14:paraId="177ED79B">
            <w:pPr>
              <w:keepNext w:val="0"/>
              <w:keepLines w:val="0"/>
              <w:pageBreakBefore w:val="0"/>
              <w:widowControl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聚丙烯/聚甲醛颅骨锁</w:t>
            </w:r>
          </w:p>
        </w:tc>
      </w:tr>
      <w:tr w14:paraId="03D7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04" w:type="dxa"/>
            <w:vMerge w:val="continue"/>
            <w:vAlign w:val="center"/>
          </w:tcPr>
          <w:p w14:paraId="49D108E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2111" w:type="dxa"/>
            <w:vMerge w:val="continue"/>
            <w:vAlign w:val="center"/>
          </w:tcPr>
          <w:p w14:paraId="4045744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6143" w:type="dxa"/>
            <w:vAlign w:val="center"/>
          </w:tcPr>
          <w:p w14:paraId="662CE687">
            <w:pPr>
              <w:keepNext w:val="0"/>
              <w:keepLines w:val="0"/>
              <w:pageBreakBefore w:val="0"/>
              <w:widowControl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可吸收颅骨锁</w:t>
            </w:r>
          </w:p>
        </w:tc>
      </w:tr>
      <w:tr w14:paraId="72382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04" w:type="dxa"/>
            <w:vMerge w:val="restart"/>
            <w:vAlign w:val="center"/>
          </w:tcPr>
          <w:p w14:paraId="736D38A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9</w:t>
            </w:r>
          </w:p>
        </w:tc>
        <w:tc>
          <w:tcPr>
            <w:tcW w:w="2111" w:type="dxa"/>
            <w:vMerge w:val="restart"/>
            <w:vAlign w:val="center"/>
          </w:tcPr>
          <w:p w14:paraId="33A8011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颅骨网</w:t>
            </w:r>
          </w:p>
        </w:tc>
        <w:tc>
          <w:tcPr>
            <w:tcW w:w="6143" w:type="dxa"/>
            <w:vAlign w:val="center"/>
          </w:tcPr>
          <w:p w14:paraId="5B7DD379">
            <w:pPr>
              <w:keepNext w:val="0"/>
              <w:keepLines w:val="0"/>
              <w:pageBreakBefore w:val="0"/>
              <w:widowControl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金属颅骨网板（二维）</w:t>
            </w:r>
          </w:p>
        </w:tc>
      </w:tr>
      <w:tr w14:paraId="7CA2B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04" w:type="dxa"/>
            <w:vMerge w:val="continue"/>
            <w:vAlign w:val="center"/>
          </w:tcPr>
          <w:p w14:paraId="16537B2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sz w:val="28"/>
                <w:szCs w:val="28"/>
                <w:highlight w:val="none"/>
              </w:rPr>
            </w:pPr>
          </w:p>
        </w:tc>
        <w:tc>
          <w:tcPr>
            <w:tcW w:w="2111" w:type="dxa"/>
            <w:vMerge w:val="continue"/>
            <w:vAlign w:val="center"/>
          </w:tcPr>
          <w:p w14:paraId="1BCDE18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sz w:val="28"/>
                <w:szCs w:val="28"/>
                <w:highlight w:val="none"/>
              </w:rPr>
            </w:pPr>
          </w:p>
        </w:tc>
        <w:tc>
          <w:tcPr>
            <w:tcW w:w="6143" w:type="dxa"/>
            <w:vAlign w:val="center"/>
          </w:tcPr>
          <w:p w14:paraId="5D3059A8">
            <w:pPr>
              <w:keepNext w:val="0"/>
              <w:keepLines w:val="0"/>
              <w:pageBreakBefore w:val="0"/>
              <w:widowControl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金属颅骨网板（三维）</w:t>
            </w:r>
          </w:p>
        </w:tc>
      </w:tr>
      <w:tr w14:paraId="64B81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04" w:type="dxa"/>
            <w:vMerge w:val="continue"/>
            <w:vAlign w:val="center"/>
          </w:tcPr>
          <w:p w14:paraId="104A9EF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2111" w:type="dxa"/>
            <w:vMerge w:val="continue"/>
            <w:vAlign w:val="center"/>
          </w:tcPr>
          <w:p w14:paraId="39B09F3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6143" w:type="dxa"/>
            <w:vAlign w:val="center"/>
          </w:tcPr>
          <w:p w14:paraId="2B971807">
            <w:pPr>
              <w:keepNext w:val="0"/>
              <w:keepLines w:val="0"/>
              <w:pageBreakBefore w:val="0"/>
              <w:widowControl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羟基磷灰石颅骨网板</w:t>
            </w:r>
          </w:p>
        </w:tc>
      </w:tr>
      <w:tr w14:paraId="200E3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04" w:type="dxa"/>
            <w:vMerge w:val="continue"/>
            <w:vAlign w:val="center"/>
          </w:tcPr>
          <w:p w14:paraId="0B8844F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2111" w:type="dxa"/>
            <w:vMerge w:val="continue"/>
            <w:vAlign w:val="center"/>
          </w:tcPr>
          <w:p w14:paraId="2A7EADA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6143" w:type="dxa"/>
            <w:vAlign w:val="center"/>
          </w:tcPr>
          <w:p w14:paraId="6E5A80E9">
            <w:pPr>
              <w:keepNext w:val="0"/>
              <w:keepLines w:val="0"/>
              <w:pageBreakBefore w:val="0"/>
              <w:widowControl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PEEK颅骨网板</w:t>
            </w:r>
          </w:p>
        </w:tc>
      </w:tr>
      <w:tr w14:paraId="0758B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04" w:type="dxa"/>
            <w:vMerge w:val="continue"/>
            <w:vAlign w:val="center"/>
          </w:tcPr>
          <w:p w14:paraId="0EA6497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2111" w:type="dxa"/>
            <w:vMerge w:val="continue"/>
            <w:vAlign w:val="center"/>
          </w:tcPr>
          <w:p w14:paraId="15F3F55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6143" w:type="dxa"/>
            <w:vAlign w:val="center"/>
          </w:tcPr>
          <w:p w14:paraId="2285FE6D">
            <w:pPr>
              <w:keepNext w:val="0"/>
              <w:keepLines w:val="0"/>
              <w:pageBreakBefore w:val="0"/>
              <w:widowControl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可吸收颅骨网板</w:t>
            </w:r>
          </w:p>
        </w:tc>
      </w:tr>
      <w:tr w14:paraId="7BE3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trPr>
        <w:tc>
          <w:tcPr>
            <w:tcW w:w="804" w:type="dxa"/>
            <w:vAlign w:val="center"/>
          </w:tcPr>
          <w:p w14:paraId="2752ACFA">
            <w:pPr>
              <w:widowControl w:val="0"/>
              <w:jc w:val="center"/>
              <w:rPr>
                <w:rFonts w:hint="eastAsia" w:ascii="黑体" w:hAnsi="黑体" w:eastAsia="黑体" w:cs="黑体"/>
                <w:b w:val="0"/>
                <w:bCs/>
                <w:i w:val="0"/>
                <w:iCs w:val="0"/>
                <w:caps w:val="0"/>
                <w:color w:val="000000"/>
                <w:spacing w:val="0"/>
                <w:sz w:val="28"/>
                <w:szCs w:val="28"/>
                <w:highlight w:val="none"/>
                <w:shd w:val="clear" w:fill="FCFCFC"/>
                <w:vertAlign w:val="baseline"/>
                <w:lang w:val="en-US" w:eastAsia="zh-CN"/>
              </w:rPr>
            </w:pPr>
            <w:r>
              <w:rPr>
                <w:rFonts w:hint="eastAsia" w:ascii="黑体" w:hAnsi="黑体" w:eastAsia="黑体" w:cs="黑体"/>
                <w:b w:val="0"/>
                <w:bCs/>
                <w:sz w:val="32"/>
                <w:szCs w:val="32"/>
                <w:highlight w:val="none"/>
                <w:lang w:val="en-US" w:eastAsia="zh-CN"/>
              </w:rPr>
              <w:br w:type="page"/>
            </w:r>
            <w:r>
              <w:rPr>
                <w:rFonts w:hint="eastAsia" w:ascii="黑体" w:hAnsi="黑体" w:eastAsia="黑体" w:cs="黑体"/>
                <w:b w:val="0"/>
                <w:bCs/>
                <w:i w:val="0"/>
                <w:iCs w:val="0"/>
                <w:caps w:val="0"/>
                <w:color w:val="000000"/>
                <w:spacing w:val="0"/>
                <w:sz w:val="28"/>
                <w:szCs w:val="28"/>
                <w:highlight w:val="none"/>
                <w:shd w:val="clear" w:fill="FCFCFC"/>
                <w:vertAlign w:val="baseline"/>
                <w:lang w:val="en-US" w:eastAsia="zh-CN"/>
              </w:rPr>
              <w:t>序号</w:t>
            </w:r>
          </w:p>
        </w:tc>
        <w:tc>
          <w:tcPr>
            <w:tcW w:w="2111" w:type="dxa"/>
            <w:vAlign w:val="center"/>
          </w:tcPr>
          <w:p w14:paraId="6D9A7752">
            <w:pPr>
              <w:keepNext w:val="0"/>
              <w:keepLines w:val="0"/>
              <w:pageBreakBefore w:val="0"/>
              <w:widowControl w:val="0"/>
              <w:kinsoku/>
              <w:wordWrap/>
              <w:overflowPunct/>
              <w:topLinePunct w:val="0"/>
              <w:autoSpaceDE/>
              <w:autoSpaceDN/>
              <w:bidi w:val="0"/>
              <w:adjustRightInd/>
              <w:snapToGrid/>
              <w:spacing w:line="340" w:lineRule="exact"/>
              <w:jc w:val="center"/>
              <w:rPr>
                <w:rFonts w:hint="eastAsia" w:ascii="黑体" w:hAnsi="黑体" w:eastAsia="黑体" w:cs="黑体"/>
                <w:b w:val="0"/>
                <w:bCs/>
                <w:i w:val="0"/>
                <w:iCs w:val="0"/>
                <w:caps w:val="0"/>
                <w:color w:val="000000"/>
                <w:spacing w:val="0"/>
                <w:sz w:val="28"/>
                <w:szCs w:val="28"/>
                <w:highlight w:val="none"/>
                <w:shd w:val="clear" w:fill="FCFCFC"/>
                <w:vertAlign w:val="baseline"/>
                <w:lang w:val="en-US" w:eastAsia="zh-CN"/>
              </w:rPr>
            </w:pPr>
            <w:r>
              <w:rPr>
                <w:rFonts w:hint="eastAsia" w:ascii="黑体" w:hAnsi="黑体" w:eastAsia="黑体" w:cs="黑体"/>
                <w:b w:val="0"/>
                <w:bCs/>
                <w:i w:val="0"/>
                <w:iCs w:val="0"/>
                <w:caps w:val="0"/>
                <w:color w:val="000000"/>
                <w:spacing w:val="0"/>
                <w:sz w:val="28"/>
                <w:szCs w:val="28"/>
                <w:highlight w:val="none"/>
                <w:shd w:val="clear" w:fill="FCFCFC"/>
                <w:vertAlign w:val="baseline"/>
                <w:lang w:val="en-US" w:eastAsia="zh-CN"/>
              </w:rPr>
              <w:t>采购品种</w:t>
            </w:r>
          </w:p>
        </w:tc>
        <w:tc>
          <w:tcPr>
            <w:tcW w:w="6143" w:type="dxa"/>
            <w:vAlign w:val="center"/>
          </w:tcPr>
          <w:p w14:paraId="2301664E">
            <w:pPr>
              <w:keepNext w:val="0"/>
              <w:keepLines w:val="0"/>
              <w:pageBreakBefore w:val="0"/>
              <w:widowControl w:val="0"/>
              <w:kinsoku/>
              <w:wordWrap/>
              <w:overflowPunct/>
              <w:topLinePunct w:val="0"/>
              <w:autoSpaceDE/>
              <w:autoSpaceDN/>
              <w:bidi w:val="0"/>
              <w:adjustRightInd/>
              <w:snapToGrid/>
              <w:spacing w:line="340" w:lineRule="exact"/>
              <w:jc w:val="center"/>
              <w:rPr>
                <w:rFonts w:hint="eastAsia" w:ascii="黑体" w:hAnsi="黑体" w:eastAsia="黑体" w:cs="黑体"/>
                <w:b w:val="0"/>
                <w:bCs/>
                <w:i w:val="0"/>
                <w:iCs w:val="0"/>
                <w:caps w:val="0"/>
                <w:color w:val="000000"/>
                <w:spacing w:val="0"/>
                <w:sz w:val="28"/>
                <w:szCs w:val="28"/>
                <w:highlight w:val="none"/>
                <w:shd w:val="clear" w:fill="FCFCFC"/>
                <w:vertAlign w:val="baseline"/>
                <w:lang w:val="en-US" w:eastAsia="zh-CN"/>
              </w:rPr>
            </w:pPr>
            <w:r>
              <w:rPr>
                <w:rFonts w:hint="eastAsia" w:ascii="黑体" w:hAnsi="黑体" w:eastAsia="黑体" w:cs="黑体"/>
                <w:b w:val="0"/>
                <w:bCs/>
                <w:i w:val="0"/>
                <w:iCs w:val="0"/>
                <w:caps w:val="0"/>
                <w:color w:val="000000"/>
                <w:spacing w:val="0"/>
                <w:sz w:val="28"/>
                <w:szCs w:val="28"/>
                <w:highlight w:val="none"/>
                <w:shd w:val="clear" w:fill="FCFCFC"/>
                <w:vertAlign w:val="baseline"/>
                <w:lang w:val="en-US" w:eastAsia="zh-CN"/>
              </w:rPr>
              <w:t>采购单元</w:t>
            </w:r>
          </w:p>
        </w:tc>
      </w:tr>
      <w:tr w14:paraId="1B86F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04" w:type="dxa"/>
            <w:vMerge w:val="restart"/>
            <w:vAlign w:val="center"/>
          </w:tcPr>
          <w:p w14:paraId="62AF1B2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10</w:t>
            </w:r>
          </w:p>
        </w:tc>
        <w:tc>
          <w:tcPr>
            <w:tcW w:w="2111" w:type="dxa"/>
            <w:vMerge w:val="restart"/>
            <w:vAlign w:val="center"/>
          </w:tcPr>
          <w:p w14:paraId="6585981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颅骨连接片</w:t>
            </w:r>
          </w:p>
        </w:tc>
        <w:tc>
          <w:tcPr>
            <w:tcW w:w="6143" w:type="dxa"/>
            <w:vAlign w:val="center"/>
          </w:tcPr>
          <w:p w14:paraId="084D54F4">
            <w:pPr>
              <w:keepNext w:val="0"/>
              <w:keepLines w:val="0"/>
              <w:pageBreakBefore w:val="0"/>
              <w:widowControl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金属连接片</w:t>
            </w:r>
          </w:p>
        </w:tc>
      </w:tr>
      <w:tr w14:paraId="22CDF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04" w:type="dxa"/>
            <w:vMerge w:val="continue"/>
            <w:vAlign w:val="center"/>
          </w:tcPr>
          <w:p w14:paraId="7BD04F5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sz w:val="28"/>
                <w:szCs w:val="28"/>
                <w:highlight w:val="none"/>
              </w:rPr>
            </w:pPr>
          </w:p>
        </w:tc>
        <w:tc>
          <w:tcPr>
            <w:tcW w:w="2111" w:type="dxa"/>
            <w:vMerge w:val="continue"/>
            <w:vAlign w:val="center"/>
          </w:tcPr>
          <w:p w14:paraId="244667C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sz w:val="28"/>
                <w:szCs w:val="28"/>
                <w:highlight w:val="none"/>
              </w:rPr>
            </w:pPr>
          </w:p>
        </w:tc>
        <w:tc>
          <w:tcPr>
            <w:tcW w:w="6143" w:type="dxa"/>
            <w:vAlign w:val="center"/>
          </w:tcPr>
          <w:p w14:paraId="04F91A94">
            <w:pPr>
              <w:keepNext w:val="0"/>
              <w:keepLines w:val="0"/>
              <w:pageBreakBefore w:val="0"/>
              <w:widowControl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PEEK连接片</w:t>
            </w:r>
          </w:p>
        </w:tc>
      </w:tr>
      <w:tr w14:paraId="6D7B6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04" w:type="dxa"/>
            <w:vMerge w:val="continue"/>
            <w:vAlign w:val="center"/>
          </w:tcPr>
          <w:p w14:paraId="6C40DA0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2111" w:type="dxa"/>
            <w:vMerge w:val="continue"/>
            <w:vAlign w:val="center"/>
          </w:tcPr>
          <w:p w14:paraId="4E0F623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6143" w:type="dxa"/>
            <w:vAlign w:val="center"/>
          </w:tcPr>
          <w:p w14:paraId="45BDDE30">
            <w:pPr>
              <w:keepNext w:val="0"/>
              <w:keepLines w:val="0"/>
              <w:pageBreakBefore w:val="0"/>
              <w:widowControl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可吸收连接片</w:t>
            </w:r>
          </w:p>
        </w:tc>
      </w:tr>
      <w:tr w14:paraId="10E71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04" w:type="dxa"/>
            <w:vMerge w:val="restart"/>
            <w:vAlign w:val="center"/>
          </w:tcPr>
          <w:p w14:paraId="359E2E8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11</w:t>
            </w:r>
          </w:p>
        </w:tc>
        <w:tc>
          <w:tcPr>
            <w:tcW w:w="2111" w:type="dxa"/>
            <w:vMerge w:val="restart"/>
            <w:vAlign w:val="center"/>
          </w:tcPr>
          <w:p w14:paraId="55B9835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颅骨盖孔板</w:t>
            </w:r>
          </w:p>
        </w:tc>
        <w:tc>
          <w:tcPr>
            <w:tcW w:w="6143" w:type="dxa"/>
            <w:vAlign w:val="center"/>
          </w:tcPr>
          <w:p w14:paraId="36510542">
            <w:pPr>
              <w:keepNext w:val="0"/>
              <w:keepLines w:val="0"/>
              <w:pageBreakBefore w:val="0"/>
              <w:widowControl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金属盖孔板</w:t>
            </w:r>
          </w:p>
        </w:tc>
      </w:tr>
      <w:tr w14:paraId="05B5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04" w:type="dxa"/>
            <w:vMerge w:val="continue"/>
            <w:vAlign w:val="center"/>
          </w:tcPr>
          <w:p w14:paraId="2254C00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sz w:val="28"/>
                <w:szCs w:val="28"/>
                <w:highlight w:val="none"/>
              </w:rPr>
            </w:pPr>
          </w:p>
        </w:tc>
        <w:tc>
          <w:tcPr>
            <w:tcW w:w="2111" w:type="dxa"/>
            <w:vMerge w:val="continue"/>
            <w:vAlign w:val="center"/>
          </w:tcPr>
          <w:p w14:paraId="55BE517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sz w:val="28"/>
                <w:szCs w:val="28"/>
                <w:highlight w:val="none"/>
              </w:rPr>
            </w:pPr>
          </w:p>
        </w:tc>
        <w:tc>
          <w:tcPr>
            <w:tcW w:w="6143" w:type="dxa"/>
            <w:vAlign w:val="center"/>
          </w:tcPr>
          <w:p w14:paraId="2720F08D">
            <w:pPr>
              <w:keepNext w:val="0"/>
              <w:keepLines w:val="0"/>
              <w:pageBreakBefore w:val="0"/>
              <w:widowControl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PEEK盖孔板</w:t>
            </w:r>
          </w:p>
        </w:tc>
      </w:tr>
      <w:tr w14:paraId="22300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04" w:type="dxa"/>
            <w:vMerge w:val="continue"/>
            <w:vAlign w:val="center"/>
          </w:tcPr>
          <w:p w14:paraId="755A4AE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2111" w:type="dxa"/>
            <w:vMerge w:val="continue"/>
            <w:vAlign w:val="center"/>
          </w:tcPr>
          <w:p w14:paraId="71C7C53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6143" w:type="dxa"/>
            <w:vAlign w:val="center"/>
          </w:tcPr>
          <w:p w14:paraId="7A681837">
            <w:pPr>
              <w:keepNext w:val="0"/>
              <w:keepLines w:val="0"/>
              <w:pageBreakBefore w:val="0"/>
              <w:widowControl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可吸收盖孔板</w:t>
            </w:r>
          </w:p>
        </w:tc>
      </w:tr>
      <w:tr w14:paraId="586A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blHeader/>
        </w:trPr>
        <w:tc>
          <w:tcPr>
            <w:tcW w:w="804" w:type="dxa"/>
            <w:vMerge w:val="restart"/>
            <w:vAlign w:val="center"/>
          </w:tcPr>
          <w:p w14:paraId="4835FB4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kern w:val="0"/>
                <w:sz w:val="28"/>
                <w:szCs w:val="28"/>
                <w:highlight w:val="none"/>
                <w:u w:val="none"/>
                <w:lang w:val="en-US" w:eastAsia="zh-CN" w:bidi="ar"/>
              </w:rPr>
            </w:pPr>
            <w:r>
              <w:rPr>
                <w:rFonts w:hint="default" w:ascii="仿宋_GB2312" w:hAnsi="仿宋_GB2312" w:eastAsia="仿宋_GB2312" w:cs="仿宋_GB2312"/>
                <w:i w:val="0"/>
                <w:iCs w:val="0"/>
                <w:color w:val="000000"/>
                <w:kern w:val="0"/>
                <w:sz w:val="28"/>
                <w:szCs w:val="28"/>
                <w:highlight w:val="none"/>
                <w:u w:val="none"/>
                <w:lang w:val="en-US" w:eastAsia="zh-CN" w:bidi="ar"/>
              </w:rPr>
              <w:t>1</w:t>
            </w:r>
            <w:r>
              <w:rPr>
                <w:rFonts w:hint="eastAsia" w:ascii="仿宋_GB2312" w:hAnsi="仿宋_GB2312" w:eastAsia="仿宋_GB2312" w:cs="仿宋_GB2312"/>
                <w:i w:val="0"/>
                <w:iCs w:val="0"/>
                <w:color w:val="000000"/>
                <w:kern w:val="0"/>
                <w:sz w:val="28"/>
                <w:szCs w:val="28"/>
                <w:highlight w:val="none"/>
                <w:u w:val="none"/>
                <w:lang w:val="en-US" w:eastAsia="zh-CN" w:bidi="ar"/>
              </w:rPr>
              <w:t>2</w:t>
            </w:r>
          </w:p>
        </w:tc>
        <w:tc>
          <w:tcPr>
            <w:tcW w:w="2111" w:type="dxa"/>
            <w:vMerge w:val="restart"/>
            <w:vAlign w:val="center"/>
          </w:tcPr>
          <w:p w14:paraId="172FA0A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颅骨钉</w:t>
            </w:r>
          </w:p>
        </w:tc>
        <w:tc>
          <w:tcPr>
            <w:tcW w:w="6143" w:type="dxa"/>
            <w:vAlign w:val="center"/>
          </w:tcPr>
          <w:p w14:paraId="7846AB55">
            <w:pPr>
              <w:keepNext w:val="0"/>
              <w:keepLines w:val="0"/>
              <w:pageBreakBefore w:val="0"/>
              <w:widowControl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金属颅骨钉</w:t>
            </w:r>
          </w:p>
        </w:tc>
      </w:tr>
      <w:tr w14:paraId="32C3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04" w:type="dxa"/>
            <w:vMerge w:val="continue"/>
            <w:vAlign w:val="center"/>
          </w:tcPr>
          <w:p w14:paraId="3E3E372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sz w:val="28"/>
                <w:szCs w:val="28"/>
                <w:highlight w:val="none"/>
              </w:rPr>
            </w:pPr>
          </w:p>
        </w:tc>
        <w:tc>
          <w:tcPr>
            <w:tcW w:w="2111" w:type="dxa"/>
            <w:vMerge w:val="continue"/>
            <w:vAlign w:val="center"/>
          </w:tcPr>
          <w:p w14:paraId="2BF3893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sz w:val="28"/>
                <w:szCs w:val="28"/>
                <w:highlight w:val="none"/>
              </w:rPr>
            </w:pPr>
          </w:p>
        </w:tc>
        <w:tc>
          <w:tcPr>
            <w:tcW w:w="6143" w:type="dxa"/>
            <w:vAlign w:val="center"/>
          </w:tcPr>
          <w:p w14:paraId="73578E08">
            <w:pPr>
              <w:keepNext w:val="0"/>
              <w:keepLines w:val="0"/>
              <w:pageBreakBefore w:val="0"/>
              <w:widowControl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可吸收颅骨钉</w:t>
            </w:r>
          </w:p>
        </w:tc>
      </w:tr>
    </w:tbl>
    <w:p w14:paraId="3F2C2054">
      <w:pPr>
        <w:pageBreakBefore w:val="0"/>
        <w:widowControl w:val="0"/>
        <w:kinsoku/>
        <w:wordWrap/>
        <w:overflowPunct/>
        <w:topLinePunct w:val="0"/>
        <w:autoSpaceDE/>
        <w:autoSpaceDN/>
        <w:bidi w:val="0"/>
        <w:adjustRightInd/>
        <w:snapToGrid/>
        <w:spacing w:after="0" w:line="560" w:lineRule="exact"/>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注：1.普通型造影导管包含包含冠脉和外周型。</w:t>
      </w:r>
    </w:p>
    <w:p w14:paraId="3267AE34">
      <w:pPr>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2.中心静脉导管（cvc）和经外周中心静脉导管（PICC）包含的</w:t>
      </w:r>
      <w:r>
        <w:rPr>
          <w:rFonts w:hint="eastAsia" w:ascii="仿宋_GB2312" w:hAnsi="仿宋_GB2312" w:eastAsia="仿宋_GB2312" w:cs="仿宋_GB2312"/>
          <w:b/>
          <w:bCs/>
          <w:sz w:val="32"/>
          <w:szCs w:val="32"/>
          <w:highlight w:val="none"/>
          <w:lang w:val="en-US" w:eastAsia="zh-CN"/>
        </w:rPr>
        <w:t>穿刺套装以全国省级（含省际联盟）集中带量采购最低中选价格进行申报和挂网。</w:t>
      </w:r>
    </w:p>
    <w:p w14:paraId="63C6FFDC">
      <w:pPr>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3.输液港腹腔型不包含脊柱型。</w:t>
      </w:r>
    </w:p>
    <w:p w14:paraId="30BB86A2">
      <w:pPr>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4.普通血管鞘不包含撕开鞘和外周血管介入导引鞘（鞘管长度≥40cm）；特殊型血管鞘含微穿刺型、薄壁型和漂浮导管。</w:t>
      </w:r>
    </w:p>
    <w:p w14:paraId="723893D5">
      <w:pPr>
        <w:pStyle w:val="3"/>
        <w:pageBreakBefore w:val="0"/>
        <w:widowControl w:val="0"/>
        <w:kinsoku/>
        <w:wordWrap/>
        <w:overflowPunct/>
        <w:topLinePunct w:val="0"/>
        <w:autoSpaceDE/>
        <w:autoSpaceDN/>
        <w:bidi w:val="0"/>
        <w:adjustRightInd/>
        <w:snapToGrid/>
        <w:spacing w:line="560" w:lineRule="exact"/>
        <w:ind w:firstLine="640"/>
        <w:textAlignment w:val="auto"/>
        <w:outlineLvl w:val="0"/>
        <w:rPr>
          <w:rFonts w:hint="eastAsia" w:ascii="Times New Roman" w:hAnsi="Times New Roman" w:cs="Times New Roman"/>
          <w:sz w:val="32"/>
          <w:highlight w:val="none"/>
          <w:lang w:val="en-US" w:eastAsia="zh-CN"/>
        </w:rPr>
      </w:pPr>
      <w:bookmarkStart w:id="12" w:name="_Toc23426"/>
      <w:r>
        <w:rPr>
          <w:rFonts w:hint="eastAsia" w:ascii="Times New Roman" w:hAnsi="Times New Roman" w:cs="Times New Roman"/>
          <w:sz w:val="32"/>
          <w:highlight w:val="none"/>
          <w:lang w:val="en-US" w:eastAsia="zh-CN"/>
        </w:rPr>
        <w:t>二、申报要求</w:t>
      </w:r>
      <w:bookmarkEnd w:id="12"/>
    </w:p>
    <w:p w14:paraId="71E08E40">
      <w:pPr>
        <w:pStyle w:val="5"/>
        <w:numPr>
          <w:ilvl w:val="0"/>
          <w:numId w:val="0"/>
        </w:numPr>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（一）申报企业为已取得本次集中带量采购产品合法资质的医疗器械注册人（含备案人，下同）。在产品质量标准、生产能力、供应能力、企业信用等方面达到本次集中带量采购要求，并具备履行协议的</w:t>
      </w:r>
      <w:r>
        <w:rPr>
          <w:rFonts w:hint="eastAsia" w:ascii="仿宋_GB2312" w:hAnsi="仿宋_GB2312" w:eastAsia="仿宋_GB2312" w:cs="仿宋_GB2312"/>
          <w:sz w:val="32"/>
          <w:szCs w:val="32"/>
          <w:highlight w:val="none"/>
          <w:lang w:val="en-US" w:eastAsia="zh-CN"/>
        </w:rPr>
        <w:t>能力</w:t>
      </w:r>
      <w:r>
        <w:rPr>
          <w:rFonts w:hint="eastAsia" w:ascii="Times New Roman" w:hAnsi="Times New Roman" w:eastAsia="仿宋_GB2312" w:cs="Times New Roman"/>
          <w:sz w:val="32"/>
          <w:szCs w:val="32"/>
          <w:highlight w:val="none"/>
          <w:lang w:val="en-US" w:eastAsia="zh-CN"/>
        </w:rPr>
        <w:t>。其中，境外医疗器械注册人应当指定我国境内企业法人协助其履行相应的法律义务。同一境外医疗器械注册人应当委托同一家企业申报。</w:t>
      </w:r>
    </w:p>
    <w:p w14:paraId="4DAC4749">
      <w:pPr>
        <w:pStyle w:val="5"/>
        <w:numPr>
          <w:ilvl w:val="0"/>
          <w:numId w:val="0"/>
        </w:numPr>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（二）申报企业和医疗器械注册人应遵守《中华人民共和国专利法》《中华人民共和国反不正当竞争法》《中华人民共和国反垄断法》等相关法律法规，并承担相应法律责任。</w:t>
      </w:r>
    </w:p>
    <w:p w14:paraId="68C6F109">
      <w:pPr>
        <w:pStyle w:val="5"/>
        <w:numPr>
          <w:ilvl w:val="0"/>
          <w:numId w:val="0"/>
        </w:numPr>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（三）申报企业和</w:t>
      </w:r>
      <w:r>
        <w:rPr>
          <w:rFonts w:hint="eastAsia" w:ascii="仿宋_GB2312" w:hAnsi="仿宋_GB2312" w:eastAsia="仿宋_GB2312" w:cs="仿宋_GB2312"/>
          <w:sz w:val="32"/>
          <w:szCs w:val="32"/>
          <w:highlight w:val="none"/>
          <w:lang w:val="en-US" w:eastAsia="zh-CN"/>
        </w:rPr>
        <w:t>医疗</w:t>
      </w:r>
      <w:r>
        <w:rPr>
          <w:rFonts w:hint="eastAsia" w:ascii="Times New Roman" w:hAnsi="Times New Roman" w:eastAsia="仿宋_GB2312" w:cs="Times New Roman"/>
          <w:sz w:val="32"/>
          <w:szCs w:val="32"/>
          <w:highlight w:val="none"/>
          <w:lang w:val="en-US" w:eastAsia="zh-CN"/>
        </w:rPr>
        <w:t>器械注册人未被列入当前《价格招采信用评价“特别严重”和“严重”失信评定结果》中评定为“特别严重”等级的。</w:t>
      </w:r>
    </w:p>
    <w:p w14:paraId="3869175F">
      <w:pPr>
        <w:pStyle w:val="5"/>
        <w:numPr>
          <w:ilvl w:val="0"/>
          <w:numId w:val="0"/>
        </w:numPr>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（四）医疗器械注册人对申报产品的质量和供应负责，作为供应保障的第一责任人，中选后及时、足量按要求组织生产并向配送企业供应中选</w:t>
      </w:r>
      <w:r>
        <w:rPr>
          <w:rFonts w:hint="eastAsia" w:ascii="仿宋_GB2312" w:hAnsi="仿宋_GB2312" w:eastAsia="仿宋_GB2312" w:cs="仿宋_GB2312"/>
          <w:sz w:val="32"/>
          <w:szCs w:val="32"/>
          <w:highlight w:val="none"/>
          <w:lang w:val="en-US" w:eastAsia="zh-CN"/>
        </w:rPr>
        <w:t>产品</w:t>
      </w:r>
      <w:r>
        <w:rPr>
          <w:rFonts w:hint="eastAsia" w:ascii="Times New Roman" w:hAnsi="Times New Roman" w:eastAsia="仿宋_GB2312" w:cs="Times New Roman"/>
          <w:sz w:val="32"/>
          <w:szCs w:val="32"/>
          <w:highlight w:val="none"/>
          <w:lang w:val="en-US" w:eastAsia="zh-CN"/>
        </w:rPr>
        <w:t>，满足医疗机构临床使用需求，保持带量联动采购前后伴随服务供给的延续性。境外医疗器械注册人指定的申报企业协助其履行相应的义务。</w:t>
      </w:r>
    </w:p>
    <w:p w14:paraId="2D285E9F">
      <w:pPr>
        <w:pStyle w:val="5"/>
        <w:numPr>
          <w:ilvl w:val="0"/>
          <w:numId w:val="0"/>
        </w:numPr>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（五）申报产品应属于采购品种范围，获得有效中华人民共和国医疗器械注册证，并取得国家医保医用耗材编码，符合国家有关部门的质量标准要求，并按国家有关部门要求组织生产。</w:t>
      </w:r>
    </w:p>
    <w:p w14:paraId="3FD28D37">
      <w:pPr>
        <w:pStyle w:val="5"/>
        <w:numPr>
          <w:ilvl w:val="0"/>
          <w:numId w:val="0"/>
        </w:numPr>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六）申报产品在本次集中带量采购活动前两年内不存在省级(含)以上药品监督管理部门质量检验不合格情况，不存在因不符合医疗器械生产质量管理规范被药品监督管理部门处以暂停生产、进口、经营和使用等控制措施的情况。</w:t>
      </w:r>
    </w:p>
    <w:p w14:paraId="26CCEA6C">
      <w:pPr>
        <w:pStyle w:val="5"/>
        <w:numPr>
          <w:ilvl w:val="0"/>
          <w:numId w:val="0"/>
        </w:numPr>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（七）申报企业中选后，须按要求签订采购协议。履约期间，中选企业原则上应确保持续拥有中选产品的有效中华人民共和国医疗器械注册证，否则将取消该产品中选资格。</w:t>
      </w:r>
    </w:p>
    <w:p w14:paraId="7D2E3172">
      <w:pPr>
        <w:pStyle w:val="5"/>
        <w:numPr>
          <w:ilvl w:val="0"/>
          <w:numId w:val="0"/>
        </w:numPr>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（八）</w:t>
      </w:r>
      <w:r>
        <w:rPr>
          <w:rFonts w:hint="eastAsia" w:ascii="Times New Roman" w:hAnsi="Times New Roman" w:eastAsia="仿宋_GB2312" w:cs="Times New Roman"/>
          <w:sz w:val="32"/>
          <w:szCs w:val="32"/>
          <w:highlight w:val="none"/>
        </w:rPr>
        <w:t>在采购协议</w:t>
      </w:r>
      <w:r>
        <w:rPr>
          <w:rFonts w:hint="eastAsia" w:ascii="仿宋_GB2312" w:hAnsi="仿宋_GB2312" w:eastAsia="仿宋_GB2312" w:cs="仿宋_GB2312"/>
          <w:sz w:val="32"/>
          <w:szCs w:val="32"/>
          <w:highlight w:val="none"/>
          <w:lang w:val="en-US" w:eastAsia="zh-CN"/>
        </w:rPr>
        <w:t>履行</w:t>
      </w:r>
      <w:r>
        <w:rPr>
          <w:rFonts w:hint="eastAsia" w:ascii="Times New Roman" w:hAnsi="Times New Roman" w:eastAsia="仿宋_GB2312" w:cs="Times New Roman"/>
          <w:sz w:val="32"/>
          <w:szCs w:val="32"/>
          <w:highlight w:val="none"/>
        </w:rPr>
        <w:t>过程中，如遇不可抗力，影响采购协议履行的，由签订采购协议各方协商解决。</w:t>
      </w:r>
    </w:p>
    <w:p w14:paraId="18AF5285">
      <w:pPr>
        <w:pStyle w:val="5"/>
        <w:numPr>
          <w:ilvl w:val="0"/>
          <w:numId w:val="0"/>
        </w:numPr>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（九）</w:t>
      </w:r>
      <w:r>
        <w:rPr>
          <w:rFonts w:hint="eastAsia" w:ascii="Times New Roman" w:hAnsi="Times New Roman" w:eastAsia="仿宋_GB2312" w:cs="Times New Roman"/>
          <w:sz w:val="32"/>
          <w:szCs w:val="32"/>
          <w:highlight w:val="none"/>
        </w:rPr>
        <w:t>申报企业须</w:t>
      </w:r>
      <w:r>
        <w:rPr>
          <w:rFonts w:hint="eastAsia" w:ascii="仿宋_GB2312" w:hAnsi="仿宋_GB2312" w:eastAsia="仿宋_GB2312" w:cs="仿宋_GB2312"/>
          <w:sz w:val="32"/>
          <w:szCs w:val="32"/>
          <w:highlight w:val="none"/>
          <w:lang w:val="en-US" w:eastAsia="zh-CN"/>
        </w:rPr>
        <w:t>提交</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山东省第四批</w:t>
      </w:r>
      <w:r>
        <w:rPr>
          <w:rFonts w:hint="eastAsia" w:ascii="Times New Roman" w:hAnsi="Times New Roman" w:eastAsia="仿宋_GB2312" w:cs="Times New Roman"/>
          <w:sz w:val="32"/>
          <w:szCs w:val="32"/>
          <w:highlight w:val="none"/>
        </w:rPr>
        <w:t>医用耗材集中带量采购申报承诺</w:t>
      </w:r>
      <w:r>
        <w:rPr>
          <w:rFonts w:hint="eastAsia" w:ascii="Times New Roman" w:hAnsi="Times New Roman" w:eastAsia="仿宋_GB2312" w:cs="Times New Roman"/>
          <w:sz w:val="32"/>
          <w:szCs w:val="32"/>
          <w:highlight w:val="none"/>
          <w:lang w:val="en-US" w:eastAsia="zh-CN"/>
        </w:rPr>
        <w:t>书》（附件2，</w:t>
      </w:r>
      <w:r>
        <w:rPr>
          <w:rFonts w:hint="default" w:ascii="Times New Roman" w:hAnsi="Times New Roman" w:eastAsia="仿宋_GB2312" w:cs="Times New Roman"/>
          <w:sz w:val="32"/>
          <w:szCs w:val="32"/>
          <w:highlight w:val="none"/>
        </w:rPr>
        <w:t>加盖企业公章</w:t>
      </w:r>
      <w:r>
        <w:rPr>
          <w:rFonts w:hint="eastAsia" w:ascii="Times New Roman" w:hAnsi="Times New Roman" w:eastAsia="仿宋_GB2312" w:cs="Times New Roman"/>
          <w:sz w:val="32"/>
          <w:szCs w:val="32"/>
          <w:highlight w:val="none"/>
          <w:lang w:val="en-US" w:eastAsia="zh-CN"/>
        </w:rPr>
        <w:t>后上传</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p>
    <w:p w14:paraId="60D680AA">
      <w:pPr>
        <w:pStyle w:val="3"/>
        <w:pageBreakBefore w:val="0"/>
        <w:widowControl w:val="0"/>
        <w:kinsoku/>
        <w:wordWrap/>
        <w:overflowPunct/>
        <w:topLinePunct w:val="0"/>
        <w:autoSpaceDE/>
        <w:autoSpaceDN/>
        <w:bidi w:val="0"/>
        <w:adjustRightInd/>
        <w:snapToGrid/>
        <w:spacing w:line="560" w:lineRule="exact"/>
        <w:ind w:firstLine="640"/>
        <w:textAlignment w:val="auto"/>
        <w:outlineLvl w:val="0"/>
        <w:rPr>
          <w:rFonts w:hint="default" w:ascii="Times New Roman" w:hAnsi="Times New Roman" w:cs="Times New Roman"/>
          <w:sz w:val="32"/>
          <w:highlight w:val="none"/>
        </w:rPr>
      </w:pPr>
      <w:bookmarkStart w:id="13" w:name="_Toc6797"/>
      <w:r>
        <w:rPr>
          <w:rFonts w:hint="eastAsia" w:ascii="Times New Roman" w:hAnsi="Times New Roman" w:cs="Times New Roman"/>
          <w:sz w:val="32"/>
          <w:highlight w:val="none"/>
          <w:lang w:val="en-US" w:eastAsia="zh-CN"/>
        </w:rPr>
        <w:t>三</w:t>
      </w:r>
      <w:r>
        <w:rPr>
          <w:rFonts w:hint="default" w:ascii="Times New Roman" w:hAnsi="Times New Roman" w:cs="Times New Roman"/>
          <w:sz w:val="32"/>
          <w:highlight w:val="none"/>
        </w:rPr>
        <w:t>、采购周期</w:t>
      </w:r>
      <w:bookmarkEnd w:id="9"/>
      <w:bookmarkEnd w:id="13"/>
    </w:p>
    <w:p w14:paraId="673547CC">
      <w:pPr>
        <w:pStyle w:val="5"/>
        <w:numPr>
          <w:ilvl w:val="0"/>
          <w:numId w:val="0"/>
        </w:num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采购周期</w:t>
      </w:r>
      <w:r>
        <w:rPr>
          <w:rFonts w:hint="default" w:ascii="Times New Roman" w:hAnsi="Times New Roman" w:eastAsia="仿宋_GB2312" w:cs="Times New Roman"/>
          <w:sz w:val="32"/>
          <w:szCs w:val="32"/>
          <w:highlight w:val="none"/>
          <w:lang w:val="en-US" w:eastAsia="zh-CN"/>
        </w:rPr>
        <w:t>原则上不少于2</w:t>
      </w:r>
      <w:r>
        <w:rPr>
          <w:rFonts w:hint="default" w:ascii="Times New Roman" w:hAnsi="Times New Roman" w:eastAsia="仿宋_GB2312" w:cs="Times New Roman"/>
          <w:sz w:val="32"/>
          <w:szCs w:val="32"/>
          <w:highlight w:val="none"/>
        </w:rPr>
        <w:t>年，自中选结果实际执行之日起计算。采购周期内，若</w:t>
      </w:r>
      <w:r>
        <w:rPr>
          <w:rFonts w:hint="default" w:ascii="仿宋_GB2312" w:hAnsi="仿宋_GB2312" w:eastAsia="仿宋_GB2312" w:cs="仿宋_GB2312"/>
          <w:sz w:val="32"/>
          <w:szCs w:val="32"/>
          <w:highlight w:val="none"/>
          <w:lang w:val="en-US" w:eastAsia="zh-CN"/>
        </w:rPr>
        <w:t>国家</w:t>
      </w:r>
      <w:r>
        <w:rPr>
          <w:rFonts w:hint="default" w:ascii="Times New Roman" w:hAnsi="Times New Roman" w:eastAsia="仿宋_GB2312" w:cs="Times New Roman"/>
          <w:sz w:val="32"/>
          <w:szCs w:val="32"/>
          <w:highlight w:val="none"/>
        </w:rPr>
        <w:t>政策做出调整，按国家政策执行。</w:t>
      </w:r>
    </w:p>
    <w:p w14:paraId="186D9512">
      <w:pPr>
        <w:pStyle w:val="3"/>
        <w:pageBreakBefore w:val="0"/>
        <w:widowControl w:val="0"/>
        <w:kinsoku/>
        <w:wordWrap/>
        <w:overflowPunct/>
        <w:topLinePunct w:val="0"/>
        <w:autoSpaceDE/>
        <w:autoSpaceDN/>
        <w:bidi w:val="0"/>
        <w:adjustRightInd/>
        <w:snapToGrid/>
        <w:spacing w:line="560" w:lineRule="exact"/>
        <w:ind w:firstLine="640"/>
        <w:textAlignment w:val="auto"/>
        <w:outlineLvl w:val="0"/>
        <w:rPr>
          <w:rFonts w:hint="default" w:ascii="Times New Roman" w:hAnsi="Times New Roman" w:cs="Times New Roman"/>
          <w:sz w:val="32"/>
          <w:highlight w:val="none"/>
          <w:lang w:val="en-US" w:eastAsia="zh-CN"/>
        </w:rPr>
      </w:pPr>
      <w:bookmarkStart w:id="14" w:name="_Toc88153590"/>
      <w:bookmarkStart w:id="15" w:name="_Toc6715"/>
      <w:r>
        <w:rPr>
          <w:rFonts w:hint="eastAsia" w:ascii="Times New Roman" w:hAnsi="Times New Roman" w:cs="Times New Roman"/>
          <w:sz w:val="32"/>
          <w:highlight w:val="none"/>
          <w:lang w:val="en-US" w:eastAsia="zh-CN"/>
        </w:rPr>
        <w:t>四、</w:t>
      </w:r>
      <w:r>
        <w:rPr>
          <w:rFonts w:hint="default" w:ascii="Times New Roman" w:hAnsi="Times New Roman" w:cs="Times New Roman"/>
          <w:sz w:val="32"/>
          <w:highlight w:val="none"/>
          <w:lang w:val="en-US" w:eastAsia="zh-CN"/>
        </w:rPr>
        <w:t>企业报价与中选产品</w:t>
      </w:r>
      <w:bookmarkEnd w:id="14"/>
      <w:bookmarkEnd w:id="15"/>
    </w:p>
    <w:p w14:paraId="7FD77CE1">
      <w:pPr>
        <w:pStyle w:val="5"/>
        <w:numPr>
          <w:ilvl w:val="0"/>
          <w:numId w:val="0"/>
        </w:numPr>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参照市场价格情况，采取带量联动的方式进行。</w:t>
      </w:r>
    </w:p>
    <w:p w14:paraId="2EB34950">
      <w:pPr>
        <w:pStyle w:val="5"/>
        <w:numPr>
          <w:ilvl w:val="0"/>
          <w:numId w:val="0"/>
        </w:numPr>
        <w:ind w:firstLine="640" w:firstLineChars="200"/>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kern w:val="2"/>
          <w:sz w:val="32"/>
          <w:szCs w:val="32"/>
          <w:highlight w:val="none"/>
          <w:lang w:val="en-US" w:eastAsia="zh-CN" w:bidi="ar-SA"/>
        </w:rPr>
        <w:t>（一）</w:t>
      </w:r>
      <w:r>
        <w:rPr>
          <w:rFonts w:hint="eastAsia" w:ascii="楷体_GB2312" w:hAnsi="楷体_GB2312" w:eastAsia="楷体_GB2312" w:cs="楷体_GB2312"/>
          <w:sz w:val="32"/>
          <w:szCs w:val="32"/>
          <w:highlight w:val="none"/>
          <w:lang w:val="en-US" w:eastAsia="zh-CN"/>
        </w:rPr>
        <w:t>企业产品申报。</w:t>
      </w:r>
      <w:r>
        <w:rPr>
          <w:rFonts w:hint="eastAsia" w:ascii="仿宋_GB2312" w:hAnsi="仿宋_GB2312" w:eastAsia="仿宋_GB2312" w:cs="仿宋_GB2312"/>
          <w:sz w:val="32"/>
          <w:szCs w:val="32"/>
          <w:highlight w:val="none"/>
          <w:lang w:val="en-US" w:eastAsia="zh-CN"/>
        </w:rPr>
        <w:t>相关企业按照应报尽报的原则，医疗机构填报首年采购需求量且全国省级（含省际联盟）集中带量采购中选的产品，企业均应</w:t>
      </w:r>
      <w:r>
        <w:rPr>
          <w:rFonts w:hint="eastAsia" w:ascii="仿宋_GB2312" w:hAnsi="Tahoma" w:eastAsia="仿宋_GB2312"/>
          <w:kern w:val="0"/>
          <w:sz w:val="32"/>
          <w:szCs w:val="32"/>
          <w:highlight w:val="none"/>
          <w:lang w:val="en-US" w:eastAsia="zh-CN"/>
        </w:rPr>
        <w:t>申报</w:t>
      </w:r>
      <w:r>
        <w:rPr>
          <w:rFonts w:hint="eastAsia" w:ascii="仿宋_GB2312" w:hAnsi="仿宋_GB2312" w:eastAsia="仿宋_GB2312" w:cs="仿宋_GB2312"/>
          <w:sz w:val="32"/>
          <w:szCs w:val="32"/>
          <w:highlight w:val="none"/>
          <w:lang w:val="en-US" w:eastAsia="zh-CN"/>
        </w:rPr>
        <w:t>带量联动；医疗机构未填报意向采购量且全国省级（含省际联盟）集中带量采购中选的产品，由企业自主申报。</w:t>
      </w:r>
    </w:p>
    <w:p w14:paraId="07F5CAB4">
      <w:pPr>
        <w:pStyle w:val="5"/>
        <w:numPr>
          <w:ilvl w:val="0"/>
          <w:numId w:val="0"/>
        </w:numPr>
        <w:ind w:firstLine="640" w:firstLineChars="200"/>
        <w:rPr>
          <w:rFonts w:hint="eastAsia" w:ascii="仿宋_GB2312" w:hAnsi="Tahoma" w:eastAsia="仿宋_GB2312"/>
          <w:kern w:val="0"/>
          <w:sz w:val="32"/>
          <w:szCs w:val="32"/>
          <w:highlight w:val="none"/>
          <w:lang w:eastAsia="zh-CN"/>
        </w:rPr>
      </w:pPr>
      <w:r>
        <w:rPr>
          <w:rFonts w:hint="eastAsia" w:ascii="楷体_GB2312" w:hAnsi="楷体_GB2312" w:eastAsia="楷体_GB2312" w:cs="楷体_GB2312"/>
          <w:kern w:val="2"/>
          <w:sz w:val="32"/>
          <w:szCs w:val="32"/>
          <w:highlight w:val="none"/>
          <w:lang w:val="en-US" w:eastAsia="zh-CN" w:bidi="ar-SA"/>
        </w:rPr>
        <w:t>（二）伴随服务及配件。</w:t>
      </w:r>
      <w:r>
        <w:rPr>
          <w:rFonts w:hint="eastAsia" w:ascii="仿宋_GB2312" w:hAnsi="Tahoma" w:eastAsia="仿宋_GB2312"/>
          <w:kern w:val="0"/>
          <w:sz w:val="32"/>
          <w:szCs w:val="32"/>
          <w:highlight w:val="none"/>
          <w:lang w:eastAsia="zh-CN"/>
        </w:rPr>
        <w:t>各中选企业应确保产品质量，保证供应配送，按不低于集中带量采购前水平提供中选产品配套设施，并提供相应伴随服务以保障正常临床医疗工作开展。</w:t>
      </w:r>
    </w:p>
    <w:p w14:paraId="5AAD54D1">
      <w:pPr>
        <w:pStyle w:val="5"/>
        <w:numPr>
          <w:ilvl w:val="0"/>
          <w:numId w:val="0"/>
        </w:numPr>
        <w:ind w:firstLine="640" w:firstLineChars="200"/>
        <w:rPr>
          <w:rFonts w:hint="eastAsia" w:ascii="仿宋_GB2312" w:hAnsi="Tahoma" w:eastAsia="仿宋_GB2312"/>
          <w:kern w:val="0"/>
          <w:sz w:val="32"/>
          <w:szCs w:val="32"/>
          <w:highlight w:val="none"/>
          <w:lang w:eastAsia="zh-CN"/>
        </w:rPr>
      </w:pPr>
      <w:r>
        <w:rPr>
          <w:rFonts w:hint="eastAsia" w:ascii="仿宋_GB2312" w:hAnsi="Tahoma" w:eastAsia="仿宋_GB2312"/>
          <w:kern w:val="0"/>
          <w:sz w:val="32"/>
          <w:szCs w:val="32"/>
          <w:highlight w:val="none"/>
          <w:lang w:val="en-US" w:eastAsia="zh-CN"/>
        </w:rPr>
        <w:t>1.</w:t>
      </w:r>
      <w:r>
        <w:rPr>
          <w:rFonts w:hint="eastAsia" w:ascii="仿宋_GB2312" w:hAnsi="Tahoma" w:eastAsia="仿宋_GB2312"/>
          <w:kern w:val="0"/>
          <w:sz w:val="32"/>
          <w:szCs w:val="32"/>
          <w:highlight w:val="none"/>
          <w:lang w:eastAsia="zh-CN"/>
        </w:rPr>
        <w:t>中心静脉导管类产品包含主产品和穿刺套件，</w:t>
      </w:r>
      <w:r>
        <w:rPr>
          <w:rFonts w:hint="eastAsia" w:ascii="仿宋_GB2312" w:hAnsi="Tahoma" w:eastAsia="仿宋_GB2312"/>
          <w:kern w:val="0"/>
          <w:sz w:val="32"/>
          <w:szCs w:val="32"/>
          <w:highlight w:val="none"/>
          <w:lang w:val="en-US" w:eastAsia="zh-CN"/>
        </w:rPr>
        <w:t>并分别进行报价，</w:t>
      </w:r>
      <w:r>
        <w:rPr>
          <w:rFonts w:hint="eastAsia" w:ascii="仿宋_GB2312" w:hAnsi="Tahoma" w:eastAsia="仿宋_GB2312"/>
          <w:kern w:val="0"/>
          <w:sz w:val="32"/>
          <w:szCs w:val="32"/>
          <w:highlight w:val="none"/>
          <w:lang w:eastAsia="zh-CN"/>
        </w:rPr>
        <w:t>主产品包含中心</w:t>
      </w:r>
      <w:r>
        <w:rPr>
          <w:rFonts w:hint="eastAsia" w:ascii="仿宋_GB2312" w:hAnsi="仿宋_GB2312" w:eastAsia="仿宋_GB2312" w:cs="仿宋_GB2312"/>
          <w:sz w:val="32"/>
          <w:szCs w:val="32"/>
          <w:highlight w:val="none"/>
          <w:lang w:val="en-US" w:eastAsia="zh-CN"/>
        </w:rPr>
        <w:t>静脉</w:t>
      </w:r>
      <w:r>
        <w:rPr>
          <w:rFonts w:hint="eastAsia" w:ascii="仿宋_GB2312" w:hAnsi="Tahoma" w:eastAsia="仿宋_GB2312"/>
          <w:kern w:val="0"/>
          <w:sz w:val="32"/>
          <w:szCs w:val="32"/>
          <w:highlight w:val="none"/>
          <w:lang w:eastAsia="zh-CN"/>
        </w:rPr>
        <w:t>导管类产品及临床实际所需的医用铺巾、手术衣、手套、纱布、消毒刷/棉球、手术盘、敷料、无菌止血带等配套物品，穿刺套件包含临床实际所需的破皮器、导引扩张器、穿刺针、导丝和超声引导配套使用相关配件等产品；</w:t>
      </w:r>
    </w:p>
    <w:p w14:paraId="7CC7939A">
      <w:pPr>
        <w:pStyle w:val="5"/>
        <w:numPr>
          <w:ilvl w:val="0"/>
          <w:numId w:val="0"/>
        </w:numPr>
        <w:ind w:firstLine="640" w:firstLineChars="200"/>
        <w:rPr>
          <w:rFonts w:hint="eastAsia" w:ascii="仿宋_GB2312" w:hAnsi="Tahoma" w:eastAsia="仿宋_GB2312"/>
          <w:kern w:val="0"/>
          <w:sz w:val="32"/>
          <w:szCs w:val="32"/>
          <w:highlight w:val="none"/>
          <w:lang w:eastAsia="zh-CN"/>
        </w:rPr>
      </w:pPr>
      <w:r>
        <w:rPr>
          <w:rFonts w:hint="eastAsia" w:ascii="仿宋_GB2312" w:hAnsi="Tahoma" w:eastAsia="仿宋_GB2312"/>
          <w:kern w:val="0"/>
          <w:sz w:val="32"/>
          <w:szCs w:val="32"/>
          <w:highlight w:val="none"/>
          <w:lang w:val="en-US" w:eastAsia="zh-CN"/>
        </w:rPr>
        <w:t>2.</w:t>
      </w:r>
      <w:r>
        <w:rPr>
          <w:rFonts w:hint="eastAsia" w:ascii="仿宋_GB2312" w:hAnsi="Tahoma" w:eastAsia="仿宋_GB2312"/>
          <w:kern w:val="0"/>
          <w:sz w:val="32"/>
          <w:szCs w:val="32"/>
          <w:highlight w:val="none"/>
          <w:lang w:eastAsia="zh-CN"/>
        </w:rPr>
        <w:t>输液港类产品应包含临床植港实际所需且应由企业提供的所有配件；</w:t>
      </w:r>
    </w:p>
    <w:p w14:paraId="70CDC624">
      <w:pPr>
        <w:pStyle w:val="5"/>
        <w:numPr>
          <w:ilvl w:val="0"/>
          <w:numId w:val="0"/>
        </w:numPr>
        <w:ind w:firstLine="640" w:firstLineChars="200"/>
        <w:rPr>
          <w:rFonts w:hint="default"/>
          <w:strike/>
          <w:dstrike w:val="0"/>
          <w:highlight w:val="yellow"/>
          <w:lang w:val="en-US" w:eastAsia="zh-CN"/>
        </w:rPr>
      </w:pPr>
      <w:r>
        <w:rPr>
          <w:rFonts w:hint="eastAsia" w:ascii="仿宋_GB2312" w:hAnsi="Tahoma" w:eastAsia="仿宋_GB2312"/>
          <w:kern w:val="0"/>
          <w:sz w:val="32"/>
          <w:szCs w:val="32"/>
          <w:highlight w:val="none"/>
          <w:lang w:val="en-US" w:eastAsia="zh-CN"/>
        </w:rPr>
        <w:t>3.颅骨固定/修补材料各采购单元内的产品的注册证或说明书须体现相应产品的材质，申报价格应包含配套工具配送费用和配套工具使用费用。</w:t>
      </w:r>
    </w:p>
    <w:p w14:paraId="32757AA6">
      <w:pPr>
        <w:pStyle w:val="5"/>
        <w:numPr>
          <w:ilvl w:val="0"/>
          <w:numId w:val="0"/>
        </w:numPr>
        <w:ind w:firstLine="640" w:firstLineChars="200"/>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（三）中选结果确定。</w:t>
      </w:r>
      <w:r>
        <w:rPr>
          <w:rFonts w:hint="eastAsia" w:ascii="仿宋_GB2312" w:hAnsi="仿宋_GB2312" w:eastAsia="仿宋_GB2312" w:cs="仿宋_GB2312"/>
          <w:sz w:val="32"/>
          <w:szCs w:val="32"/>
          <w:highlight w:val="none"/>
          <w:lang w:val="en-US" w:eastAsia="zh-CN"/>
        </w:rPr>
        <w:t>企业申报产品同时满足以下情形的确定为中选产品：1.产品为全国省级（含省际联盟）集中带量采购中选产品；2.产品报价不高于本产品全国省级（含省际联盟）集中带量采购最低中选价及全国最低挂网价。</w:t>
      </w:r>
    </w:p>
    <w:p w14:paraId="327726CC">
      <w:pPr>
        <w:pStyle w:val="5"/>
        <w:numPr>
          <w:ilvl w:val="0"/>
          <w:numId w:val="0"/>
        </w:numPr>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应申报但未申报带量联动（若产品停产且在全国范围内不再销售的，企业须提供证明文件），或未如实按不高于本产品全国省级（含省际联盟）集中带量采购最低中选价、全国最低挂网价二者中的低值申报的，一经核实，取消企业同采购品种所有产品中选资格。</w:t>
      </w:r>
    </w:p>
    <w:p w14:paraId="63BF033A">
      <w:pPr>
        <w:pStyle w:val="5"/>
        <w:numPr>
          <w:ilvl w:val="0"/>
          <w:numId w:val="0"/>
        </w:numPr>
        <w:ind w:firstLine="640" w:firstLineChars="200"/>
        <w:rPr>
          <w:rFonts w:hint="eastAsia" w:ascii="仿宋_GB2312" w:hAnsi="Tahoma" w:eastAsia="仿宋_GB2312"/>
          <w:kern w:val="0"/>
          <w:sz w:val="32"/>
          <w:szCs w:val="32"/>
          <w:highlight w:val="yellow"/>
          <w:lang w:val="en-US" w:eastAsia="zh-CN"/>
        </w:rPr>
      </w:pPr>
      <w:r>
        <w:rPr>
          <w:rFonts w:hint="eastAsia" w:ascii="楷体_GB2312" w:hAnsi="楷体_GB2312" w:eastAsia="楷体_GB2312" w:cs="楷体_GB2312"/>
          <w:sz w:val="32"/>
          <w:szCs w:val="32"/>
          <w:highlight w:val="none"/>
          <w:lang w:val="en-US" w:eastAsia="zh-CN"/>
        </w:rPr>
        <w:t>（四）其他情形。</w:t>
      </w:r>
      <w:r>
        <w:rPr>
          <w:rFonts w:hint="eastAsia" w:ascii="仿宋_GB2312" w:hAnsi="仿宋_GB2312" w:eastAsia="仿宋_GB2312" w:cs="仿宋_GB2312"/>
          <w:sz w:val="32"/>
          <w:szCs w:val="32"/>
          <w:highlight w:val="none"/>
          <w:lang w:val="en-US" w:eastAsia="zh-CN"/>
        </w:rPr>
        <w:t>按照国家或省级药品监督管理部门创新医疗器械特别审查程序特别审批的全国省级（含省际联盟）集中带量采购非中选产品，企业可自主按不高于相应采购单元所有中选产品算术平均价申报，确定为中选产品。其他全国省级（含省际联盟）集中带量采购非中选产品，若接受相应采购单元所有中选产品最低中选价格的，确定为中选产品。其中，</w:t>
      </w:r>
      <w:r>
        <w:rPr>
          <w:rFonts w:hint="eastAsia" w:ascii="仿宋_GB2312" w:hAnsi="Tahoma" w:eastAsia="仿宋_GB2312"/>
          <w:kern w:val="0"/>
          <w:sz w:val="32"/>
          <w:szCs w:val="32"/>
          <w:highlight w:val="none"/>
          <w:lang w:eastAsia="zh-CN"/>
        </w:rPr>
        <w:t>中心静脉导管类产品</w:t>
      </w:r>
      <w:r>
        <w:rPr>
          <w:rFonts w:hint="eastAsia" w:ascii="仿宋_GB2312" w:hAnsi="Tahoma" w:eastAsia="仿宋_GB2312"/>
          <w:kern w:val="0"/>
          <w:sz w:val="32"/>
          <w:szCs w:val="32"/>
          <w:highlight w:val="none"/>
          <w:lang w:val="en-US" w:eastAsia="zh-CN"/>
        </w:rPr>
        <w:t>取</w:t>
      </w:r>
      <w:r>
        <w:rPr>
          <w:rFonts w:hint="eastAsia" w:ascii="仿宋_GB2312" w:hAnsi="Tahoma" w:eastAsia="仿宋_GB2312"/>
          <w:kern w:val="0"/>
          <w:sz w:val="32"/>
          <w:szCs w:val="32"/>
          <w:highlight w:val="none"/>
          <w:lang w:eastAsia="zh-CN"/>
        </w:rPr>
        <w:t>主产品和穿刺套件</w:t>
      </w:r>
      <w:r>
        <w:rPr>
          <w:rFonts w:hint="eastAsia" w:ascii="仿宋_GB2312" w:hAnsi="Tahoma" w:eastAsia="仿宋_GB2312"/>
          <w:kern w:val="0"/>
          <w:sz w:val="32"/>
          <w:szCs w:val="32"/>
          <w:highlight w:val="none"/>
          <w:lang w:val="en-US" w:eastAsia="zh-CN"/>
        </w:rPr>
        <w:t>价格之和，颅骨网取单位面积（cm</w:t>
      </w:r>
      <w:r>
        <w:rPr>
          <w:rFonts w:hint="eastAsia" w:ascii="仿宋_GB2312" w:hAnsi="Tahoma" w:eastAsia="仿宋_GB2312"/>
          <w:kern w:val="0"/>
          <w:sz w:val="32"/>
          <w:szCs w:val="32"/>
          <w:highlight w:val="none"/>
          <w:vertAlign w:val="superscript"/>
          <w:lang w:val="en-US" w:eastAsia="zh-CN"/>
        </w:rPr>
        <w:t>2</w:t>
      </w:r>
      <w:r>
        <w:rPr>
          <w:rFonts w:hint="eastAsia" w:ascii="仿宋_GB2312" w:hAnsi="Tahoma" w:eastAsia="仿宋_GB2312"/>
          <w:kern w:val="0"/>
          <w:sz w:val="32"/>
          <w:szCs w:val="32"/>
          <w:highlight w:val="none"/>
          <w:lang w:val="en-US" w:eastAsia="zh-CN"/>
        </w:rPr>
        <w:t>）价格，颅骨网、金属连接片、金属盖孔板类各规格型号产品价格根据相应比价关系进行价格的确认。</w:t>
      </w:r>
    </w:p>
    <w:p w14:paraId="07EC243B">
      <w:pPr>
        <w:pageBreakBefore w:val="0"/>
        <w:numPr>
          <w:ilvl w:val="0"/>
          <w:numId w:val="0"/>
        </w:numPr>
        <w:kinsoku/>
        <w:wordWrap/>
        <w:overflowPunct/>
        <w:topLinePunct w:val="0"/>
        <w:autoSpaceDE/>
        <w:autoSpaceDN/>
        <w:bidi w:val="0"/>
        <w:spacing w:after="0" w:line="560" w:lineRule="exact"/>
        <w:textAlignment w:val="auto"/>
        <w:rPr>
          <w:rFonts w:hint="default" w:ascii="仿宋_GB2312" w:hAnsi="Tahoma" w:eastAsia="仿宋_GB2312"/>
          <w:kern w:val="0"/>
          <w:sz w:val="32"/>
          <w:szCs w:val="32"/>
          <w:highlight w:val="none"/>
          <w:lang w:val="en-US" w:eastAsia="zh-CN"/>
        </w:rPr>
      </w:pPr>
      <w:r>
        <w:rPr>
          <w:rFonts w:hint="eastAsia" w:ascii="仿宋_GB2312" w:hAnsi="Tahoma" w:eastAsia="仿宋_GB2312"/>
          <w:kern w:val="0"/>
          <w:sz w:val="32"/>
          <w:szCs w:val="32"/>
          <w:highlight w:val="none"/>
          <w:lang w:val="en-US" w:eastAsia="zh-CN"/>
        </w:rPr>
        <w:t>颅骨网：</w:t>
      </w:r>
    </w:p>
    <w:tbl>
      <w:tblPr>
        <w:tblStyle w:val="40"/>
        <w:tblW w:w="8838"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19"/>
        <w:gridCol w:w="4419"/>
      </w:tblGrid>
      <w:tr w14:paraId="36274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4419" w:type="dxa"/>
            <w:vAlign w:val="top"/>
          </w:tcPr>
          <w:p w14:paraId="5B5F4D39">
            <w:pPr>
              <w:spacing w:before="112" w:line="222" w:lineRule="auto"/>
              <w:ind w:left="1618"/>
              <w:rPr>
                <w:rFonts w:ascii="黑体" w:hAnsi="黑体" w:eastAsia="黑体" w:cs="黑体"/>
                <w:sz w:val="24"/>
                <w:szCs w:val="24"/>
              </w:rPr>
            </w:pPr>
            <w:r>
              <w:rPr>
                <w:rFonts w:hint="eastAsia" w:ascii="黑体" w:hAnsi="黑体" w:eastAsia="黑体" w:cs="黑体"/>
                <w:spacing w:val="-3"/>
                <w:sz w:val="24"/>
                <w:szCs w:val="24"/>
                <w:lang w:val="en-US" w:eastAsia="zh-CN"/>
              </w:rPr>
              <w:t>单位面积（cm²）</w:t>
            </w:r>
          </w:p>
        </w:tc>
        <w:tc>
          <w:tcPr>
            <w:tcW w:w="4419" w:type="dxa"/>
            <w:vAlign w:val="top"/>
          </w:tcPr>
          <w:p w14:paraId="44757051">
            <w:pPr>
              <w:spacing w:before="113" w:line="222" w:lineRule="auto"/>
              <w:ind w:left="1736"/>
              <w:rPr>
                <w:rFonts w:ascii="黑体" w:hAnsi="黑体" w:eastAsia="黑体" w:cs="黑体"/>
                <w:sz w:val="24"/>
                <w:szCs w:val="24"/>
              </w:rPr>
            </w:pPr>
            <w:r>
              <w:rPr>
                <w:rFonts w:ascii="黑体" w:hAnsi="黑体" w:eastAsia="黑体" w:cs="黑体"/>
                <w:spacing w:val="-3"/>
                <w:sz w:val="24"/>
                <w:szCs w:val="24"/>
              </w:rPr>
              <w:t>相应系数</w:t>
            </w:r>
          </w:p>
        </w:tc>
      </w:tr>
      <w:tr w14:paraId="56BDB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4419" w:type="dxa"/>
            <w:vAlign w:val="top"/>
          </w:tcPr>
          <w:p w14:paraId="42E88061">
            <w:pPr>
              <w:pStyle w:val="41"/>
              <w:spacing w:before="106" w:line="237" w:lineRule="auto"/>
              <w:jc w:val="center"/>
            </w:pPr>
            <w:r>
              <w:rPr>
                <w:spacing w:val="-10"/>
              </w:rPr>
              <w:t>面积＜81</w:t>
            </w:r>
          </w:p>
        </w:tc>
        <w:tc>
          <w:tcPr>
            <w:tcW w:w="4419" w:type="dxa"/>
            <w:vAlign w:val="top"/>
          </w:tcPr>
          <w:p w14:paraId="0A748509">
            <w:pPr>
              <w:pStyle w:val="41"/>
              <w:spacing w:before="143" w:line="184" w:lineRule="auto"/>
              <w:jc w:val="center"/>
              <w:rPr>
                <w:rFonts w:hint="default" w:eastAsia="宋体"/>
                <w:lang w:val="en-US" w:eastAsia="zh-CN"/>
              </w:rPr>
            </w:pPr>
            <w:r>
              <w:rPr>
                <w:rFonts w:hint="eastAsia"/>
                <w:spacing w:val="-10"/>
                <w:lang w:val="en-US" w:eastAsia="zh-CN"/>
              </w:rPr>
              <w:t>1.2</w:t>
            </w:r>
          </w:p>
        </w:tc>
      </w:tr>
      <w:tr w14:paraId="62FC1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419" w:type="dxa"/>
            <w:vAlign w:val="top"/>
          </w:tcPr>
          <w:p w14:paraId="0125B66A">
            <w:pPr>
              <w:pStyle w:val="41"/>
              <w:spacing w:before="145" w:line="183" w:lineRule="auto"/>
              <w:jc w:val="center"/>
            </w:pPr>
            <w:r>
              <w:rPr>
                <w:spacing w:val="-10"/>
              </w:rPr>
              <w:t>81≤面积＜144</w:t>
            </w:r>
          </w:p>
        </w:tc>
        <w:tc>
          <w:tcPr>
            <w:tcW w:w="4419" w:type="dxa"/>
            <w:vAlign w:val="top"/>
          </w:tcPr>
          <w:p w14:paraId="1E4B9159">
            <w:pPr>
              <w:pStyle w:val="41"/>
              <w:spacing w:before="144" w:line="184" w:lineRule="auto"/>
              <w:jc w:val="center"/>
              <w:rPr>
                <w:rFonts w:hint="eastAsia" w:eastAsia="宋体"/>
                <w:lang w:eastAsia="zh-CN"/>
              </w:rPr>
            </w:pPr>
            <w:r>
              <w:rPr>
                <w:rFonts w:hint="eastAsia"/>
                <w:spacing w:val="-10"/>
                <w:lang w:val="en-US" w:eastAsia="zh-CN"/>
              </w:rPr>
              <w:t>1</w:t>
            </w:r>
          </w:p>
        </w:tc>
      </w:tr>
      <w:tr w14:paraId="16664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4419" w:type="dxa"/>
            <w:vAlign w:val="top"/>
          </w:tcPr>
          <w:p w14:paraId="6852D572">
            <w:pPr>
              <w:pStyle w:val="41"/>
              <w:spacing w:before="146" w:line="183" w:lineRule="auto"/>
              <w:jc w:val="center"/>
            </w:pPr>
            <w:r>
              <w:rPr>
                <w:rFonts w:hint="eastAsia"/>
                <w:spacing w:val="-4"/>
              </w:rPr>
              <w:t>144≤面积＜225</w:t>
            </w:r>
          </w:p>
        </w:tc>
        <w:tc>
          <w:tcPr>
            <w:tcW w:w="4419" w:type="dxa"/>
            <w:vAlign w:val="top"/>
          </w:tcPr>
          <w:p w14:paraId="7E53B756">
            <w:pPr>
              <w:pStyle w:val="41"/>
              <w:spacing w:before="144" w:line="184" w:lineRule="auto"/>
              <w:jc w:val="center"/>
              <w:rPr>
                <w:rFonts w:hint="default" w:eastAsia="宋体"/>
                <w:lang w:val="en-US" w:eastAsia="zh-CN"/>
              </w:rPr>
            </w:pPr>
            <w:r>
              <w:rPr>
                <w:rFonts w:hint="eastAsia"/>
                <w:spacing w:val="-10"/>
                <w:lang w:val="en-US" w:eastAsia="zh-CN"/>
              </w:rPr>
              <w:t>0.8</w:t>
            </w:r>
          </w:p>
        </w:tc>
      </w:tr>
      <w:tr w14:paraId="6AAB4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4419" w:type="dxa"/>
            <w:vAlign w:val="top"/>
          </w:tcPr>
          <w:p w14:paraId="64120F8B">
            <w:pPr>
              <w:pStyle w:val="41"/>
              <w:spacing w:before="147" w:line="183" w:lineRule="auto"/>
              <w:jc w:val="center"/>
            </w:pPr>
            <w:r>
              <w:rPr>
                <w:rFonts w:hint="eastAsia"/>
                <w:spacing w:val="-4"/>
              </w:rPr>
              <w:t>面积≥225</w:t>
            </w:r>
          </w:p>
        </w:tc>
        <w:tc>
          <w:tcPr>
            <w:tcW w:w="4419" w:type="dxa"/>
            <w:vAlign w:val="top"/>
          </w:tcPr>
          <w:p w14:paraId="2B8FE792">
            <w:pPr>
              <w:pStyle w:val="41"/>
              <w:spacing w:before="145" w:line="184" w:lineRule="auto"/>
              <w:jc w:val="center"/>
              <w:rPr>
                <w:rFonts w:hint="default" w:eastAsia="宋体"/>
                <w:lang w:val="en-US" w:eastAsia="zh-CN"/>
              </w:rPr>
            </w:pPr>
            <w:r>
              <w:rPr>
                <w:rFonts w:hint="eastAsia"/>
                <w:lang w:val="en-US" w:eastAsia="zh-CN"/>
              </w:rPr>
              <w:t>0.6</w:t>
            </w:r>
          </w:p>
        </w:tc>
      </w:tr>
    </w:tbl>
    <w:p w14:paraId="545B8179">
      <w:pPr>
        <w:pageBreakBefore w:val="0"/>
        <w:numPr>
          <w:ilvl w:val="0"/>
          <w:numId w:val="0"/>
        </w:numPr>
        <w:kinsoku/>
        <w:wordWrap/>
        <w:overflowPunct/>
        <w:topLinePunct w:val="0"/>
        <w:autoSpaceDE/>
        <w:autoSpaceDN/>
        <w:bidi w:val="0"/>
        <w:spacing w:after="0" w:line="560" w:lineRule="exact"/>
        <w:textAlignment w:val="auto"/>
        <w:rPr>
          <w:rFonts w:hint="eastAsia" w:ascii="仿宋_GB2312" w:hAnsi="Tahoma" w:eastAsia="仿宋_GB2312"/>
          <w:kern w:val="0"/>
          <w:sz w:val="32"/>
          <w:szCs w:val="32"/>
          <w:highlight w:val="none"/>
          <w:lang w:val="en-US" w:eastAsia="zh-CN"/>
        </w:rPr>
      </w:pPr>
      <w:r>
        <w:rPr>
          <w:rFonts w:hint="eastAsia" w:ascii="仿宋_GB2312" w:hAnsi="Tahoma" w:eastAsia="仿宋_GB2312"/>
          <w:kern w:val="0"/>
          <w:sz w:val="32"/>
          <w:szCs w:val="32"/>
          <w:highlight w:val="none"/>
          <w:lang w:val="en-US" w:eastAsia="zh-CN"/>
        </w:rPr>
        <w:t>金属连接片、金属盖孔板：</w:t>
      </w:r>
    </w:p>
    <w:tbl>
      <w:tblPr>
        <w:tblStyle w:val="40"/>
        <w:tblW w:w="8838"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19"/>
        <w:gridCol w:w="4419"/>
      </w:tblGrid>
      <w:tr w14:paraId="63E3D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4419" w:type="dxa"/>
            <w:vAlign w:val="top"/>
          </w:tcPr>
          <w:p w14:paraId="29B56C72">
            <w:pPr>
              <w:spacing w:before="112" w:line="222" w:lineRule="auto"/>
              <w:ind w:left="1618"/>
              <w:rPr>
                <w:rFonts w:ascii="黑体" w:hAnsi="黑体" w:eastAsia="黑体" w:cs="黑体"/>
                <w:sz w:val="24"/>
                <w:szCs w:val="24"/>
              </w:rPr>
            </w:pPr>
            <w:r>
              <w:rPr>
                <w:rFonts w:ascii="黑体" w:hAnsi="黑体" w:eastAsia="黑体" w:cs="黑体"/>
                <w:spacing w:val="-2"/>
                <w:sz w:val="24"/>
                <w:szCs w:val="24"/>
              </w:rPr>
              <w:t>厚度（mm）</w:t>
            </w:r>
          </w:p>
        </w:tc>
        <w:tc>
          <w:tcPr>
            <w:tcW w:w="4419" w:type="dxa"/>
            <w:vAlign w:val="top"/>
          </w:tcPr>
          <w:p w14:paraId="6AE0C185">
            <w:pPr>
              <w:spacing w:before="113" w:line="222" w:lineRule="auto"/>
              <w:ind w:left="1736"/>
              <w:rPr>
                <w:rFonts w:ascii="黑体" w:hAnsi="黑体" w:eastAsia="黑体" w:cs="黑体"/>
                <w:sz w:val="24"/>
                <w:szCs w:val="24"/>
              </w:rPr>
            </w:pPr>
            <w:r>
              <w:rPr>
                <w:rFonts w:ascii="黑体" w:hAnsi="黑体" w:eastAsia="黑体" w:cs="黑体"/>
                <w:spacing w:val="-3"/>
                <w:sz w:val="24"/>
                <w:szCs w:val="24"/>
              </w:rPr>
              <w:t>相应系数</w:t>
            </w:r>
          </w:p>
        </w:tc>
      </w:tr>
      <w:tr w14:paraId="6F82C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4419" w:type="dxa"/>
            <w:vAlign w:val="top"/>
          </w:tcPr>
          <w:p w14:paraId="48F150A3">
            <w:pPr>
              <w:pStyle w:val="41"/>
              <w:spacing w:before="106" w:line="237" w:lineRule="auto"/>
              <w:ind w:left="1933"/>
            </w:pPr>
            <w:r>
              <w:rPr>
                <w:spacing w:val="-7"/>
              </w:rPr>
              <w:t>≤0.3</w:t>
            </w:r>
          </w:p>
        </w:tc>
        <w:tc>
          <w:tcPr>
            <w:tcW w:w="4419" w:type="dxa"/>
            <w:vAlign w:val="top"/>
          </w:tcPr>
          <w:p w14:paraId="75686A9E">
            <w:pPr>
              <w:pStyle w:val="41"/>
              <w:spacing w:before="143" w:line="184" w:lineRule="auto"/>
              <w:ind w:left="2051"/>
            </w:pPr>
            <w:r>
              <w:rPr>
                <w:spacing w:val="-10"/>
              </w:rPr>
              <w:t>1.9</w:t>
            </w:r>
          </w:p>
        </w:tc>
      </w:tr>
      <w:tr w14:paraId="40713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419" w:type="dxa"/>
            <w:vAlign w:val="top"/>
          </w:tcPr>
          <w:p w14:paraId="1D7E2213">
            <w:pPr>
              <w:pStyle w:val="41"/>
              <w:spacing w:before="145" w:line="183" w:lineRule="auto"/>
              <w:ind w:left="2039"/>
            </w:pPr>
            <w:r>
              <w:rPr>
                <w:spacing w:val="-4"/>
              </w:rPr>
              <w:t>0.4</w:t>
            </w:r>
          </w:p>
        </w:tc>
        <w:tc>
          <w:tcPr>
            <w:tcW w:w="4419" w:type="dxa"/>
            <w:vAlign w:val="top"/>
          </w:tcPr>
          <w:p w14:paraId="3165B4B4">
            <w:pPr>
              <w:pStyle w:val="41"/>
              <w:spacing w:before="144" w:line="184" w:lineRule="auto"/>
              <w:ind w:left="2051"/>
            </w:pPr>
            <w:r>
              <w:rPr>
                <w:spacing w:val="-10"/>
              </w:rPr>
              <w:t>1.6</w:t>
            </w:r>
          </w:p>
        </w:tc>
      </w:tr>
      <w:tr w14:paraId="18753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4419" w:type="dxa"/>
            <w:vAlign w:val="top"/>
          </w:tcPr>
          <w:p w14:paraId="0F3318D6">
            <w:pPr>
              <w:pStyle w:val="41"/>
              <w:spacing w:before="146" w:line="183" w:lineRule="auto"/>
              <w:ind w:left="2039"/>
            </w:pPr>
            <w:r>
              <w:rPr>
                <w:spacing w:val="-4"/>
              </w:rPr>
              <w:t>0.5</w:t>
            </w:r>
          </w:p>
        </w:tc>
        <w:tc>
          <w:tcPr>
            <w:tcW w:w="4419" w:type="dxa"/>
            <w:vAlign w:val="top"/>
          </w:tcPr>
          <w:p w14:paraId="4B1C2F11">
            <w:pPr>
              <w:pStyle w:val="41"/>
              <w:spacing w:before="144" w:line="184" w:lineRule="auto"/>
              <w:ind w:left="2051"/>
            </w:pPr>
            <w:r>
              <w:rPr>
                <w:spacing w:val="-10"/>
              </w:rPr>
              <w:t>1.3</w:t>
            </w:r>
          </w:p>
        </w:tc>
      </w:tr>
      <w:tr w14:paraId="64F0B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4419" w:type="dxa"/>
            <w:vAlign w:val="top"/>
          </w:tcPr>
          <w:p w14:paraId="5554F20C">
            <w:pPr>
              <w:pStyle w:val="41"/>
              <w:spacing w:before="147" w:line="183" w:lineRule="auto"/>
              <w:ind w:left="2039"/>
            </w:pPr>
            <w:r>
              <w:rPr>
                <w:spacing w:val="-4"/>
              </w:rPr>
              <w:t>0.6</w:t>
            </w:r>
          </w:p>
        </w:tc>
        <w:tc>
          <w:tcPr>
            <w:tcW w:w="4419" w:type="dxa"/>
            <w:vAlign w:val="top"/>
          </w:tcPr>
          <w:p w14:paraId="584AF65E">
            <w:pPr>
              <w:pStyle w:val="41"/>
              <w:spacing w:before="145" w:line="184" w:lineRule="auto"/>
              <w:ind w:left="2171"/>
            </w:pPr>
            <w:r>
              <w:t>1</w:t>
            </w:r>
          </w:p>
        </w:tc>
      </w:tr>
      <w:tr w14:paraId="0C359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4419" w:type="dxa"/>
            <w:vAlign w:val="top"/>
          </w:tcPr>
          <w:p w14:paraId="01716C8E">
            <w:pPr>
              <w:pStyle w:val="41"/>
              <w:spacing w:before="148" w:line="183" w:lineRule="auto"/>
              <w:ind w:left="2039"/>
            </w:pPr>
            <w:r>
              <w:rPr>
                <w:spacing w:val="-4"/>
              </w:rPr>
              <w:t>0.7</w:t>
            </w:r>
          </w:p>
        </w:tc>
        <w:tc>
          <w:tcPr>
            <w:tcW w:w="4419" w:type="dxa"/>
            <w:vAlign w:val="top"/>
          </w:tcPr>
          <w:p w14:paraId="2100F8DC">
            <w:pPr>
              <w:pStyle w:val="41"/>
              <w:spacing w:before="148" w:line="183" w:lineRule="auto"/>
              <w:ind w:left="2036"/>
            </w:pPr>
            <w:r>
              <w:rPr>
                <w:spacing w:val="-4"/>
              </w:rPr>
              <w:t>0.9</w:t>
            </w:r>
          </w:p>
        </w:tc>
      </w:tr>
      <w:tr w14:paraId="2302F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4419" w:type="dxa"/>
            <w:vAlign w:val="top"/>
          </w:tcPr>
          <w:p w14:paraId="31C91B03">
            <w:pPr>
              <w:pStyle w:val="41"/>
              <w:spacing w:before="111" w:line="238" w:lineRule="auto"/>
              <w:ind w:left="1940"/>
            </w:pPr>
            <w:r>
              <w:rPr>
                <w:spacing w:val="-9"/>
              </w:rPr>
              <w:t>≥0.8</w:t>
            </w:r>
          </w:p>
        </w:tc>
        <w:tc>
          <w:tcPr>
            <w:tcW w:w="4419" w:type="dxa"/>
            <w:vAlign w:val="top"/>
          </w:tcPr>
          <w:p w14:paraId="316281DE">
            <w:pPr>
              <w:pStyle w:val="41"/>
              <w:spacing w:before="149" w:line="183" w:lineRule="auto"/>
              <w:ind w:left="2036"/>
            </w:pPr>
            <w:r>
              <w:rPr>
                <w:spacing w:val="-4"/>
              </w:rPr>
              <w:t>0.8</w:t>
            </w:r>
          </w:p>
        </w:tc>
      </w:tr>
      <w:bookmarkEnd w:id="10"/>
      <w:bookmarkEnd w:id="11"/>
    </w:tbl>
    <w:p w14:paraId="59880704">
      <w:pPr>
        <w:pStyle w:val="3"/>
        <w:pageBreakBefore w:val="0"/>
        <w:widowControl w:val="0"/>
        <w:kinsoku/>
        <w:wordWrap/>
        <w:overflowPunct/>
        <w:topLinePunct w:val="0"/>
        <w:autoSpaceDE/>
        <w:autoSpaceDN/>
        <w:bidi w:val="0"/>
        <w:adjustRightInd/>
        <w:snapToGrid/>
        <w:spacing w:line="560" w:lineRule="exact"/>
        <w:ind w:firstLine="640"/>
        <w:textAlignment w:val="auto"/>
        <w:outlineLvl w:val="0"/>
        <w:rPr>
          <w:rFonts w:hint="default" w:ascii="Times New Roman" w:hAnsi="Times New Roman" w:cs="Times New Roman"/>
          <w:sz w:val="32"/>
          <w:highlight w:val="none"/>
          <w:lang w:val="en-US"/>
        </w:rPr>
      </w:pPr>
      <w:bookmarkStart w:id="16" w:name="_Toc88153591"/>
      <w:bookmarkStart w:id="17" w:name="_Toc18097"/>
      <w:bookmarkStart w:id="18" w:name="_Toc87519578"/>
      <w:bookmarkStart w:id="19" w:name="_Toc86750484"/>
      <w:r>
        <w:rPr>
          <w:rFonts w:hint="eastAsia" w:ascii="Times New Roman" w:hAnsi="Times New Roman" w:cs="Times New Roman"/>
          <w:sz w:val="32"/>
          <w:highlight w:val="none"/>
          <w:lang w:val="en-US" w:eastAsia="zh-CN"/>
        </w:rPr>
        <w:t>五</w:t>
      </w:r>
      <w:r>
        <w:rPr>
          <w:rFonts w:hint="default" w:ascii="Times New Roman" w:hAnsi="Times New Roman" w:cs="Times New Roman"/>
          <w:sz w:val="32"/>
          <w:highlight w:val="none"/>
        </w:rPr>
        <w:t>、</w:t>
      </w:r>
      <w:bookmarkEnd w:id="16"/>
      <w:r>
        <w:rPr>
          <w:rFonts w:hint="default" w:ascii="Times New Roman" w:hAnsi="Times New Roman" w:cs="Times New Roman"/>
          <w:sz w:val="32"/>
          <w:highlight w:val="none"/>
          <w:lang w:val="en-US" w:eastAsia="zh-CN"/>
        </w:rPr>
        <w:t>约定采购量</w:t>
      </w:r>
      <w:bookmarkEnd w:id="17"/>
    </w:p>
    <w:p w14:paraId="5F3F1794">
      <w:pPr>
        <w:pStyle w:val="5"/>
        <w:numPr>
          <w:ilvl w:val="0"/>
          <w:numId w:val="0"/>
        </w:numPr>
        <w:ind w:firstLine="640" w:firstLineChars="200"/>
        <w:rPr>
          <w:rFonts w:hint="default" w:ascii="Times New Roman" w:hAnsi="Times New Roman" w:eastAsia="仿宋_GB2312" w:cs="Times New Roman"/>
          <w:sz w:val="32"/>
          <w:szCs w:val="32"/>
          <w:highlight w:val="none"/>
          <w:lang w:val="en-US" w:eastAsia="zh-CN"/>
        </w:rPr>
      </w:pPr>
      <w:r>
        <w:rPr>
          <w:rFonts w:hint="eastAsia" w:ascii="仿宋_GB2312" w:hAnsi="仿宋_GB2312" w:eastAsia="仿宋_GB2312" w:cs="仿宋_GB2312"/>
          <w:sz w:val="32"/>
          <w:szCs w:val="32"/>
          <w:highlight w:val="none"/>
          <w:lang w:val="en-US" w:eastAsia="zh-CN"/>
        </w:rPr>
        <w:t>医疗机构首年约定采购量为首年采购需求量的80%。按照采购单元，公布医疗机构填报的各企业、各产品的采购需求量。若产品中选，则医疗机构采购需求量的60%分配给该中选产品，中选产品采购需求量的20%和未中选产品采购需求量的80%作为待分配量由医疗机构在同采购单元内各中选产品中自由分配，鼓励优先选择中选价格较低的中选产品</w:t>
      </w:r>
      <w:r>
        <w:rPr>
          <w:rFonts w:hint="default" w:ascii="仿宋_GB2312" w:hAnsi="仿宋_GB2312" w:eastAsia="仿宋_GB2312" w:cs="仿宋_GB2312"/>
          <w:sz w:val="32"/>
          <w:szCs w:val="32"/>
          <w:highlight w:val="none"/>
          <w:lang w:val="en-US" w:eastAsia="zh-CN"/>
        </w:rPr>
        <w:t>。</w:t>
      </w:r>
    </w:p>
    <w:p w14:paraId="69CDA720">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sz w:val="32"/>
          <w:szCs w:val="32"/>
          <w:highlight w:val="none"/>
          <w:lang w:val="en-US" w:eastAsia="zh-CN"/>
        </w:rPr>
      </w:pPr>
      <w:bookmarkStart w:id="20" w:name="_Toc22782"/>
      <w:r>
        <w:rPr>
          <w:rFonts w:hint="eastAsia" w:ascii="Times New Roman" w:hAnsi="Times New Roman" w:eastAsia="黑体" w:cs="Times New Roman"/>
          <w:sz w:val="32"/>
          <w:szCs w:val="32"/>
          <w:highlight w:val="none"/>
          <w:lang w:val="en-US" w:eastAsia="zh-CN"/>
        </w:rPr>
        <w:t>六</w:t>
      </w:r>
      <w:r>
        <w:rPr>
          <w:rFonts w:hint="default" w:ascii="Times New Roman" w:hAnsi="Times New Roman" w:eastAsia="黑体" w:cs="Times New Roman"/>
          <w:sz w:val="32"/>
          <w:szCs w:val="32"/>
          <w:highlight w:val="none"/>
          <w:lang w:val="en-US" w:eastAsia="zh-CN"/>
        </w:rPr>
        <w:t>、动态调整</w:t>
      </w:r>
      <w:bookmarkEnd w:id="20"/>
    </w:p>
    <w:p w14:paraId="5E4638CE">
      <w:pPr>
        <w:pStyle w:val="5"/>
        <w:numPr>
          <w:ilvl w:val="0"/>
          <w:numId w:val="0"/>
        </w:num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采购周期内，中选产品若在外省（含省际联盟）产生挂网价格或集采中选价格低于我省</w:t>
      </w:r>
      <w:r>
        <w:rPr>
          <w:rFonts w:hint="eastAsia" w:ascii="仿宋_GB2312" w:hAnsi="Tahoma" w:eastAsia="仿宋_GB2312"/>
          <w:kern w:val="0"/>
          <w:sz w:val="32"/>
          <w:szCs w:val="32"/>
          <w:highlight w:val="none"/>
          <w:lang w:val="en-US" w:eastAsia="zh-CN"/>
        </w:rPr>
        <w:t>中选</w:t>
      </w:r>
      <w:r>
        <w:rPr>
          <w:rFonts w:hint="eastAsia" w:ascii="仿宋_GB2312" w:hAnsi="仿宋_GB2312" w:eastAsia="仿宋_GB2312" w:cs="仿宋_GB2312"/>
          <w:sz w:val="32"/>
          <w:szCs w:val="32"/>
          <w:highlight w:val="none"/>
          <w:lang w:val="en-US" w:eastAsia="zh-CN"/>
        </w:rPr>
        <w:t>价格的，企业应在30天内申报联动调整我省中选价格。</w:t>
      </w:r>
    </w:p>
    <w:p w14:paraId="4DC965D3">
      <w:pPr>
        <w:pStyle w:val="5"/>
        <w:numPr>
          <w:ilvl w:val="0"/>
          <w:numId w:val="0"/>
        </w:num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未申报或新获批产品若在外省（含省际联盟）集采中选，企业可按不高于全国省级（含省际联盟）集中带量采购最低中选价、全国最低挂网价二者中的低值，自主申报进行联动，下一个采购年度可参加医疗机构的中选产品报量分量。</w:t>
      </w:r>
    </w:p>
    <w:p w14:paraId="7199F137">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bCs/>
          <w:highlight w:val="none"/>
          <w:lang w:val="en-US" w:eastAsia="zh-CN"/>
        </w:rPr>
      </w:pPr>
      <w:r>
        <w:rPr>
          <w:rFonts w:hint="eastAsia" w:ascii="仿宋_GB2312" w:hAnsi="仿宋_GB2312" w:eastAsia="仿宋_GB2312" w:cs="仿宋_GB2312"/>
          <w:b/>
          <w:bCs/>
          <w:sz w:val="32"/>
          <w:szCs w:val="32"/>
          <w:highlight w:val="none"/>
          <w:lang w:val="en-US" w:eastAsia="zh-CN"/>
        </w:rPr>
        <w:t>已被取消中选资格的企业不得申报相应采购品种</w:t>
      </w:r>
      <w:r>
        <w:rPr>
          <w:rFonts w:hint="default" w:ascii="仿宋_GB2312" w:hAnsi="仿宋_GB2312" w:eastAsia="仿宋_GB2312" w:cs="仿宋_GB2312"/>
          <w:b/>
          <w:bCs/>
          <w:sz w:val="32"/>
          <w:szCs w:val="32"/>
          <w:highlight w:val="none"/>
          <w:lang w:val="en-US" w:eastAsia="zh-CN"/>
        </w:rPr>
        <w:t>。</w:t>
      </w:r>
    </w:p>
    <w:p w14:paraId="0C3219CC">
      <w:pPr>
        <w:pStyle w:val="3"/>
        <w:pageBreakBefore w:val="0"/>
        <w:widowControl w:val="0"/>
        <w:kinsoku/>
        <w:wordWrap/>
        <w:overflowPunct/>
        <w:topLinePunct w:val="0"/>
        <w:autoSpaceDE/>
        <w:autoSpaceDN/>
        <w:bidi w:val="0"/>
        <w:adjustRightInd/>
        <w:snapToGrid/>
        <w:spacing w:line="560" w:lineRule="exact"/>
        <w:ind w:firstLine="640"/>
        <w:textAlignment w:val="auto"/>
        <w:outlineLvl w:val="0"/>
        <w:rPr>
          <w:rFonts w:hint="default" w:ascii="Times New Roman" w:hAnsi="Times New Roman" w:cs="Times New Roman"/>
          <w:sz w:val="32"/>
          <w:highlight w:val="none"/>
        </w:rPr>
      </w:pPr>
      <w:bookmarkStart w:id="21" w:name="_Toc88153582"/>
      <w:bookmarkStart w:id="22" w:name="_Toc19581"/>
      <w:r>
        <w:rPr>
          <w:rFonts w:hint="eastAsia" w:ascii="Times New Roman" w:hAnsi="Times New Roman" w:cs="Times New Roman"/>
          <w:sz w:val="32"/>
          <w:highlight w:val="none"/>
          <w:lang w:val="en-US" w:eastAsia="zh-CN"/>
        </w:rPr>
        <w:t>七</w:t>
      </w:r>
      <w:r>
        <w:rPr>
          <w:rFonts w:hint="default" w:ascii="Times New Roman" w:hAnsi="Times New Roman" w:cs="Times New Roman"/>
          <w:sz w:val="32"/>
          <w:highlight w:val="none"/>
        </w:rPr>
        <w:t>、采购执行说明</w:t>
      </w:r>
      <w:bookmarkEnd w:id="21"/>
      <w:bookmarkEnd w:id="22"/>
    </w:p>
    <w:bookmarkEnd w:id="18"/>
    <w:bookmarkEnd w:id="19"/>
    <w:p w14:paraId="6771F730">
      <w:pPr>
        <w:pStyle w:val="5"/>
        <w:numPr>
          <w:ilvl w:val="0"/>
          <w:numId w:val="0"/>
        </w:numPr>
        <w:ind w:firstLine="640" w:firstLineChars="200"/>
        <w:rPr>
          <w:rFonts w:hint="eastAsia" w:ascii="仿宋_GB2312" w:hAnsi="仿宋_GB2312" w:eastAsia="仿宋_GB2312" w:cs="仿宋_GB2312"/>
          <w:sz w:val="32"/>
          <w:szCs w:val="32"/>
          <w:highlight w:val="none"/>
          <w:lang w:val="en-US" w:eastAsia="zh-CN"/>
        </w:rPr>
      </w:pPr>
      <w:bookmarkStart w:id="23" w:name="_Toc86750485"/>
      <w:bookmarkStart w:id="24" w:name="_Toc87519579"/>
      <w:r>
        <w:rPr>
          <w:rFonts w:hint="eastAsia" w:ascii="仿宋_GB2312" w:hAnsi="仿宋_GB2312" w:eastAsia="仿宋_GB2312" w:cs="仿宋_GB2312"/>
          <w:sz w:val="32"/>
          <w:szCs w:val="32"/>
          <w:highlight w:val="none"/>
          <w:lang w:val="en-US" w:eastAsia="zh-CN"/>
        </w:rPr>
        <w:t>（一）采购周期内，医疗机构优先使用本次集中带量采购中选产品，并确保完成协议</w:t>
      </w:r>
      <w:r>
        <w:rPr>
          <w:rFonts w:hint="eastAsia" w:ascii="仿宋_GB2312" w:hAnsi="Tahoma" w:eastAsia="仿宋_GB2312"/>
          <w:kern w:val="0"/>
          <w:sz w:val="32"/>
          <w:szCs w:val="32"/>
          <w:highlight w:val="none"/>
          <w:lang w:val="en-US" w:eastAsia="zh-CN"/>
        </w:rPr>
        <w:t>采购</w:t>
      </w:r>
      <w:r>
        <w:rPr>
          <w:rFonts w:hint="eastAsia" w:ascii="仿宋_GB2312" w:hAnsi="仿宋_GB2312" w:eastAsia="仿宋_GB2312" w:cs="仿宋_GB2312"/>
          <w:sz w:val="32"/>
          <w:szCs w:val="32"/>
          <w:highlight w:val="none"/>
          <w:lang w:val="en-US" w:eastAsia="zh-CN"/>
        </w:rPr>
        <w:t>量，剩余用量可适量采购价格适宜的其他产品。</w:t>
      </w:r>
    </w:p>
    <w:p w14:paraId="323F02E3">
      <w:pPr>
        <w:pStyle w:val="5"/>
        <w:numPr>
          <w:ilvl w:val="0"/>
          <w:numId w:val="0"/>
        </w:numPr>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（二）中选生产企业</w:t>
      </w:r>
      <w:r>
        <w:rPr>
          <w:rFonts w:hint="eastAsia" w:ascii="仿宋_GB2312" w:hAnsi="仿宋_GB2312" w:eastAsia="仿宋_GB2312" w:cs="仿宋_GB2312"/>
          <w:sz w:val="32"/>
          <w:szCs w:val="32"/>
          <w:highlight w:val="none"/>
          <w:lang w:val="en-US" w:eastAsia="zh-CN"/>
        </w:rPr>
        <w:t>作为供应</w:t>
      </w:r>
      <w:r>
        <w:rPr>
          <w:rFonts w:ascii="Times New Roman" w:hAnsi="Times New Roman" w:eastAsia="仿宋_GB2312" w:cs="Times New Roman"/>
          <w:sz w:val="32"/>
          <w:szCs w:val="32"/>
          <w:highlight w:val="none"/>
        </w:rPr>
        <w:t>保障的第一责任人，须及时、足量的满足医药机构临床需求，包括约定采购量以及超过约定采购量的部分，不得选择性供应。</w:t>
      </w:r>
    </w:p>
    <w:p w14:paraId="2ECF72EE">
      <w:pPr>
        <w:pStyle w:val="5"/>
        <w:numPr>
          <w:ilvl w:val="0"/>
          <w:numId w:val="0"/>
        </w:numPr>
        <w:ind w:firstLine="640" w:firstLineChars="200"/>
        <w:rPr>
          <w:rFonts w:hint="eastAsia" w:ascii="仿宋_GB2312" w:hAnsi="仿宋_GB2312" w:eastAsia="仿宋_GB2312" w:cs="仿宋_GB2312"/>
          <w:sz w:val="32"/>
          <w:szCs w:val="32"/>
          <w:highlight w:val="none"/>
          <w:lang w:val="en-US" w:eastAsia="zh-CN"/>
        </w:rPr>
      </w:pPr>
      <w:r>
        <w:rPr>
          <w:rFonts w:ascii="Times New Roman" w:hAnsi="Times New Roman" w:eastAsia="仿宋_GB2312" w:cs="Times New Roman"/>
          <w:sz w:val="32"/>
          <w:szCs w:val="32"/>
          <w:highlight w:val="none"/>
        </w:rPr>
        <w:t>（三）</w:t>
      </w:r>
      <w:r>
        <w:rPr>
          <w:rFonts w:hint="eastAsia" w:ascii="仿宋_GB2312" w:hAnsi="仿宋_GB2312" w:eastAsia="仿宋_GB2312" w:cs="仿宋_GB2312"/>
          <w:sz w:val="32"/>
          <w:szCs w:val="32"/>
          <w:highlight w:val="none"/>
          <w:lang w:val="en-US" w:eastAsia="zh-CN"/>
        </w:rPr>
        <w:t>中选企业在采购周期内被取消资格的，相应协议约定采购量予以剔除，鼓励医疗机构优先从其他中选企业中选产品中选择使用。</w:t>
      </w:r>
    </w:p>
    <w:p w14:paraId="421CFD82">
      <w:pPr>
        <w:pStyle w:val="5"/>
        <w:numPr>
          <w:ilvl w:val="0"/>
          <w:numId w:val="0"/>
        </w:numPr>
        <w:ind w:firstLine="640" w:firstLineChars="200"/>
        <w:rPr>
          <w:rFonts w:hint="eastAsia"/>
          <w:highlight w:val="none"/>
          <w:lang w:val="en-US" w:eastAsia="zh-CN"/>
        </w:rPr>
      </w:pPr>
      <w:r>
        <w:rPr>
          <w:rFonts w:hint="eastAsia" w:ascii="仿宋_GB2312" w:hAnsi="仿宋_GB2312" w:eastAsia="仿宋_GB2312" w:cs="仿宋_GB2312"/>
          <w:sz w:val="32"/>
          <w:szCs w:val="32"/>
          <w:highlight w:val="none"/>
          <w:lang w:val="en-US" w:eastAsia="zh-CN"/>
        </w:rPr>
        <w:t>（四）采购周期内，如</w:t>
      </w:r>
      <w:r>
        <w:rPr>
          <w:rFonts w:hint="eastAsia" w:ascii="仿宋_GB2312" w:hAnsi="Tahoma" w:eastAsia="仿宋_GB2312"/>
          <w:kern w:val="0"/>
          <w:sz w:val="32"/>
          <w:szCs w:val="32"/>
          <w:highlight w:val="none"/>
          <w:lang w:val="en-US" w:eastAsia="zh-CN"/>
        </w:rPr>
        <w:t>涉及</w:t>
      </w:r>
      <w:r>
        <w:rPr>
          <w:rFonts w:hint="eastAsia" w:ascii="仿宋_GB2312" w:hAnsi="仿宋_GB2312" w:eastAsia="仿宋_GB2312" w:cs="仿宋_GB2312"/>
          <w:sz w:val="32"/>
          <w:szCs w:val="32"/>
          <w:highlight w:val="none"/>
          <w:lang w:val="en-US" w:eastAsia="zh-CN"/>
        </w:rPr>
        <w:t>产品价格治理等须降价情形，中选企业须按相关政策调整后的价格供应，直至采购周期届满。</w:t>
      </w:r>
    </w:p>
    <w:p w14:paraId="6F6550DE">
      <w:pPr>
        <w:pStyle w:val="3"/>
        <w:ind w:firstLine="640"/>
        <w:outlineLvl w:val="0"/>
        <w:rPr>
          <w:rFonts w:ascii="Times New Roman" w:hAnsi="Times New Roman" w:cs="Times New Roman"/>
          <w:sz w:val="32"/>
          <w:highlight w:val="none"/>
        </w:rPr>
      </w:pPr>
      <w:bookmarkStart w:id="25" w:name="_Toc24185"/>
      <w:r>
        <w:rPr>
          <w:rFonts w:hint="eastAsia" w:ascii="Times New Roman" w:hAnsi="Times New Roman" w:cs="Times New Roman"/>
          <w:sz w:val="32"/>
          <w:highlight w:val="none"/>
          <w:lang w:val="en-US" w:eastAsia="zh-CN"/>
        </w:rPr>
        <w:t>八</w:t>
      </w:r>
      <w:r>
        <w:rPr>
          <w:rFonts w:hint="eastAsia" w:ascii="Times New Roman" w:hAnsi="Times New Roman" w:cs="Times New Roman"/>
          <w:sz w:val="32"/>
          <w:highlight w:val="none"/>
        </w:rPr>
        <w:t>、</w:t>
      </w:r>
      <w:r>
        <w:rPr>
          <w:rFonts w:hint="eastAsia" w:ascii="Times New Roman" w:hAnsi="Times New Roman" w:cs="Times New Roman"/>
          <w:sz w:val="32"/>
          <w:highlight w:val="none"/>
          <w:lang w:val="en-US" w:eastAsia="zh-CN"/>
        </w:rPr>
        <w:t>通知公告发布</w:t>
      </w:r>
      <w:bookmarkEnd w:id="23"/>
      <w:bookmarkEnd w:id="24"/>
      <w:bookmarkEnd w:id="25"/>
    </w:p>
    <w:p w14:paraId="4404ACA0">
      <w:pPr>
        <w:pStyle w:val="5"/>
        <w:numPr>
          <w:ilvl w:val="0"/>
          <w:numId w:val="0"/>
        </w:numPr>
        <w:ind w:firstLine="640" w:firstLineChars="200"/>
        <w:rPr>
          <w:rFonts w:hint="eastAsia" w:ascii="仿宋_GB2312" w:hAnsi="Tahoma" w:eastAsia="仿宋_GB2312"/>
          <w:kern w:val="0"/>
          <w:sz w:val="32"/>
          <w:szCs w:val="32"/>
          <w:highlight w:val="none"/>
          <w:lang w:val="en-US" w:eastAsia="zh-CN"/>
        </w:rPr>
      </w:pPr>
      <w:r>
        <w:rPr>
          <w:rFonts w:hint="eastAsia" w:ascii="仿宋_GB2312" w:hAnsi="Tahoma" w:eastAsia="仿宋_GB2312"/>
          <w:kern w:val="0"/>
          <w:sz w:val="32"/>
          <w:szCs w:val="32"/>
          <w:highlight w:val="none"/>
          <w:lang w:val="en-US" w:eastAsia="zh-CN"/>
        </w:rPr>
        <w:t>本项目相关通知、公告及采购文件等均通过山东省公共资源交易中心网站（</w:t>
      </w:r>
      <w:r>
        <w:rPr>
          <w:rFonts w:hint="eastAsia" w:ascii="仿宋_GB2312" w:hAnsi="Tahoma" w:eastAsia="仿宋_GB2312"/>
          <w:kern w:val="0"/>
          <w:sz w:val="32"/>
          <w:szCs w:val="32"/>
          <w:highlight w:val="none"/>
          <w:lang w:val="en-US" w:eastAsia="zh-CN"/>
        </w:rPr>
        <w:fldChar w:fldCharType="begin"/>
      </w:r>
      <w:r>
        <w:rPr>
          <w:rFonts w:hint="eastAsia" w:ascii="仿宋_GB2312" w:hAnsi="Tahoma" w:eastAsia="仿宋_GB2312"/>
          <w:kern w:val="0"/>
          <w:sz w:val="32"/>
          <w:szCs w:val="32"/>
          <w:highlight w:val="none"/>
          <w:lang w:val="en-US" w:eastAsia="zh-CN"/>
        </w:rPr>
        <w:instrText xml:space="preserve"> HYPERLINK "http://ggzyjyzx.shandong.gov.cn" </w:instrText>
      </w:r>
      <w:r>
        <w:rPr>
          <w:rFonts w:hint="eastAsia" w:ascii="仿宋_GB2312" w:hAnsi="Tahoma" w:eastAsia="仿宋_GB2312"/>
          <w:kern w:val="0"/>
          <w:sz w:val="32"/>
          <w:szCs w:val="32"/>
          <w:highlight w:val="none"/>
          <w:lang w:val="en-US" w:eastAsia="zh-CN"/>
        </w:rPr>
        <w:fldChar w:fldCharType="separate"/>
      </w:r>
      <w:r>
        <w:rPr>
          <w:rFonts w:hint="eastAsia" w:ascii="仿宋_GB2312" w:hAnsi="Tahoma" w:eastAsia="仿宋_GB2312"/>
          <w:kern w:val="0"/>
          <w:sz w:val="32"/>
          <w:szCs w:val="32"/>
          <w:highlight w:val="none"/>
          <w:lang w:val="en-US" w:eastAsia="zh-CN"/>
        </w:rPr>
        <w:t>http://ggzyjyzx.shandong.gov.cn</w:t>
      </w:r>
      <w:r>
        <w:rPr>
          <w:rFonts w:hint="eastAsia" w:ascii="仿宋_GB2312" w:hAnsi="Tahoma" w:eastAsia="仿宋_GB2312"/>
          <w:kern w:val="0"/>
          <w:sz w:val="32"/>
          <w:szCs w:val="32"/>
          <w:highlight w:val="none"/>
          <w:lang w:val="en-US" w:eastAsia="zh-CN"/>
        </w:rPr>
        <w:fldChar w:fldCharType="end"/>
      </w:r>
      <w:r>
        <w:rPr>
          <w:rFonts w:hint="eastAsia" w:ascii="仿宋_GB2312" w:hAnsi="Tahoma" w:eastAsia="仿宋_GB2312"/>
          <w:kern w:val="0"/>
          <w:sz w:val="32"/>
          <w:szCs w:val="32"/>
          <w:highlight w:val="none"/>
          <w:lang w:val="en-US" w:eastAsia="zh-CN"/>
        </w:rPr>
        <w:t>）发布。</w:t>
      </w:r>
      <w:bookmarkStart w:id="26" w:name="_Toc87519580"/>
      <w:bookmarkStart w:id="27" w:name="_Toc86750486"/>
    </w:p>
    <w:p w14:paraId="455B653E">
      <w:pPr>
        <w:pStyle w:val="3"/>
        <w:ind w:firstLine="640"/>
        <w:outlineLvl w:val="0"/>
        <w:rPr>
          <w:rFonts w:hint="eastAsia" w:ascii="Times New Roman" w:hAnsi="Times New Roman" w:cs="Times New Roman"/>
          <w:sz w:val="32"/>
          <w:highlight w:val="none"/>
        </w:rPr>
      </w:pPr>
      <w:bookmarkStart w:id="28" w:name="_Toc24582"/>
      <w:r>
        <w:rPr>
          <w:rFonts w:hint="eastAsia" w:ascii="Times New Roman" w:hAnsi="Times New Roman" w:cs="Times New Roman"/>
          <w:sz w:val="32"/>
          <w:highlight w:val="none"/>
          <w:lang w:val="en-US" w:eastAsia="zh-CN"/>
        </w:rPr>
        <w:t>九</w:t>
      </w:r>
      <w:r>
        <w:rPr>
          <w:rFonts w:hint="eastAsia" w:ascii="Times New Roman" w:hAnsi="Times New Roman" w:cs="Times New Roman"/>
          <w:sz w:val="32"/>
          <w:highlight w:val="none"/>
        </w:rPr>
        <w:t>、采购工作流程</w:t>
      </w:r>
      <w:bookmarkEnd w:id="26"/>
      <w:bookmarkEnd w:id="27"/>
      <w:bookmarkEnd w:id="28"/>
    </w:p>
    <w:p w14:paraId="62FD9698">
      <w:pPr>
        <w:pStyle w:val="28"/>
        <w:numPr>
          <w:ilvl w:val="0"/>
          <w:numId w:val="1"/>
        </w:numPr>
        <w:ind w:firstLineChars="0"/>
        <w:rPr>
          <w:rFonts w:ascii="仿宋_GB2312" w:hAnsi="宋体" w:eastAsia="仿宋_GB2312"/>
          <w:sz w:val="32"/>
          <w:szCs w:val="32"/>
          <w:highlight w:val="none"/>
        </w:rPr>
      </w:pPr>
      <w:r>
        <w:rPr>
          <w:rFonts w:hint="eastAsia" w:ascii="仿宋_GB2312" w:hAnsi="宋体" w:eastAsia="仿宋_GB2312"/>
          <w:sz w:val="32"/>
          <w:szCs w:val="32"/>
          <w:highlight w:val="none"/>
        </w:rPr>
        <w:t>发布采购公告</w:t>
      </w:r>
    </w:p>
    <w:p w14:paraId="1DBF8E59">
      <w:pPr>
        <w:pStyle w:val="28"/>
        <w:numPr>
          <w:ilvl w:val="0"/>
          <w:numId w:val="1"/>
        </w:numPr>
        <w:ind w:firstLineChars="0"/>
        <w:rPr>
          <w:rFonts w:ascii="仿宋_GB2312" w:hAnsi="宋体" w:eastAsia="仿宋_GB2312"/>
          <w:sz w:val="32"/>
          <w:szCs w:val="32"/>
          <w:highlight w:val="none"/>
        </w:rPr>
      </w:pPr>
      <w:r>
        <w:rPr>
          <w:rFonts w:hint="eastAsia" w:ascii="仿宋_GB2312" w:hAnsi="宋体" w:eastAsia="仿宋_GB2312"/>
          <w:sz w:val="32"/>
          <w:szCs w:val="32"/>
          <w:highlight w:val="none"/>
        </w:rPr>
        <w:t>申报企业网上申报企业</w:t>
      </w:r>
      <w:r>
        <w:rPr>
          <w:rFonts w:hint="eastAsia" w:ascii="仿宋_GB2312" w:hAnsi="宋体" w:eastAsia="仿宋_GB2312"/>
          <w:sz w:val="32"/>
          <w:szCs w:val="32"/>
          <w:highlight w:val="none"/>
          <w:lang w:val="en-US" w:eastAsia="zh-CN"/>
        </w:rPr>
        <w:t>信息、</w:t>
      </w:r>
      <w:r>
        <w:rPr>
          <w:rFonts w:hint="eastAsia" w:ascii="仿宋_GB2312" w:hAnsi="宋体" w:eastAsia="仿宋_GB2312"/>
          <w:sz w:val="32"/>
          <w:szCs w:val="32"/>
          <w:highlight w:val="none"/>
        </w:rPr>
        <w:t>产品</w:t>
      </w:r>
      <w:r>
        <w:rPr>
          <w:rFonts w:ascii="仿宋_GB2312" w:hAnsi="宋体" w:eastAsia="仿宋_GB2312"/>
          <w:sz w:val="32"/>
          <w:szCs w:val="32"/>
          <w:highlight w:val="none"/>
        </w:rPr>
        <w:t>信息</w:t>
      </w:r>
      <w:r>
        <w:rPr>
          <w:rFonts w:hint="eastAsia" w:ascii="仿宋_GB2312" w:hAnsi="宋体" w:eastAsia="仿宋_GB2312"/>
          <w:sz w:val="32"/>
          <w:szCs w:val="32"/>
          <w:highlight w:val="none"/>
          <w:lang w:val="en-US" w:eastAsia="zh-CN"/>
        </w:rPr>
        <w:t>及价格</w:t>
      </w:r>
    </w:p>
    <w:p w14:paraId="69BA0AB8">
      <w:pPr>
        <w:pStyle w:val="28"/>
        <w:numPr>
          <w:ilvl w:val="0"/>
          <w:numId w:val="1"/>
        </w:numPr>
        <w:ind w:firstLineChars="0"/>
        <w:rPr>
          <w:rFonts w:ascii="仿宋_GB2312" w:hAnsi="宋体" w:eastAsia="仿宋_GB2312"/>
          <w:sz w:val="32"/>
          <w:szCs w:val="32"/>
          <w:highlight w:val="none"/>
        </w:rPr>
      </w:pPr>
      <w:r>
        <w:rPr>
          <w:rFonts w:hint="eastAsia" w:ascii="仿宋_GB2312" w:hAnsi="宋体" w:eastAsia="仿宋_GB2312"/>
          <w:sz w:val="32"/>
          <w:szCs w:val="32"/>
          <w:highlight w:val="none"/>
        </w:rPr>
        <w:t>公示拟中选企业及产品</w:t>
      </w:r>
      <w:r>
        <w:rPr>
          <w:rFonts w:hint="eastAsia" w:ascii="仿宋_GB2312" w:hAnsi="宋体" w:eastAsia="仿宋_GB2312"/>
          <w:sz w:val="32"/>
          <w:szCs w:val="32"/>
          <w:highlight w:val="none"/>
          <w:lang w:val="en-US" w:eastAsia="zh-CN"/>
        </w:rPr>
        <w:t>（</w:t>
      </w:r>
      <w:r>
        <w:rPr>
          <w:rFonts w:ascii="Times New Roman" w:hAnsi="Times New Roman" w:eastAsia="仿宋_GB2312" w:cs="Times New Roman"/>
          <w:sz w:val="32"/>
          <w:szCs w:val="32"/>
          <w:highlight w:val="none"/>
        </w:rPr>
        <w:t>省级（含省际联盟）集中带量采购中选产品</w:t>
      </w:r>
      <w:r>
        <w:rPr>
          <w:rFonts w:hint="eastAsia" w:ascii="仿宋_GB2312" w:hAnsi="宋体" w:eastAsia="仿宋_GB2312"/>
          <w:sz w:val="32"/>
          <w:szCs w:val="32"/>
          <w:highlight w:val="none"/>
          <w:lang w:val="en-US" w:eastAsia="zh-CN"/>
        </w:rPr>
        <w:t>）</w:t>
      </w:r>
    </w:p>
    <w:p w14:paraId="29821584">
      <w:pPr>
        <w:pStyle w:val="28"/>
        <w:numPr>
          <w:ilvl w:val="0"/>
          <w:numId w:val="1"/>
        </w:numPr>
        <w:ind w:firstLineChars="0"/>
        <w:rPr>
          <w:rFonts w:ascii="仿宋_GB2312" w:hAnsi="宋体" w:eastAsia="仿宋_GB2312"/>
          <w:sz w:val="32"/>
          <w:szCs w:val="32"/>
          <w:highlight w:val="none"/>
        </w:rPr>
      </w:pPr>
      <w:r>
        <w:rPr>
          <w:rFonts w:hint="eastAsia" w:ascii="仿宋_GB2312" w:hAnsi="宋体" w:eastAsia="仿宋_GB2312"/>
          <w:sz w:val="32"/>
          <w:szCs w:val="32"/>
          <w:highlight w:val="none"/>
        </w:rPr>
        <w:t>处理</w:t>
      </w:r>
      <w:r>
        <w:rPr>
          <w:rFonts w:hint="eastAsia" w:ascii="仿宋_GB2312" w:hAnsi="宋体" w:eastAsia="仿宋_GB2312"/>
          <w:sz w:val="32"/>
          <w:szCs w:val="32"/>
          <w:highlight w:val="none"/>
          <w:lang w:val="en-US" w:eastAsia="zh-CN"/>
        </w:rPr>
        <w:t>申投诉</w:t>
      </w:r>
    </w:p>
    <w:p w14:paraId="46355CBB">
      <w:pPr>
        <w:pStyle w:val="28"/>
        <w:numPr>
          <w:ilvl w:val="0"/>
          <w:numId w:val="1"/>
        </w:numPr>
        <w:ind w:firstLineChars="0"/>
        <w:rPr>
          <w:rFonts w:ascii="仿宋_GB2312" w:hAnsi="宋体" w:eastAsia="仿宋_GB2312"/>
          <w:sz w:val="32"/>
          <w:szCs w:val="32"/>
          <w:highlight w:val="none"/>
        </w:rPr>
      </w:pPr>
      <w:r>
        <w:rPr>
          <w:rFonts w:hint="eastAsia" w:ascii="仿宋_GB2312" w:hAnsi="宋体" w:eastAsia="仿宋_GB2312"/>
          <w:sz w:val="32"/>
          <w:szCs w:val="32"/>
          <w:highlight w:val="none"/>
        </w:rPr>
        <w:t>公布中选企业及产</w:t>
      </w:r>
      <w:r>
        <w:rPr>
          <w:rFonts w:ascii="仿宋_GB2312" w:hAnsi="宋体" w:eastAsia="仿宋_GB2312"/>
          <w:sz w:val="32"/>
          <w:szCs w:val="32"/>
          <w:highlight w:val="none"/>
        </w:rPr>
        <w:t>品</w:t>
      </w:r>
      <w:r>
        <w:rPr>
          <w:rFonts w:hint="eastAsia" w:ascii="仿宋_GB2312" w:hAnsi="宋体" w:eastAsia="仿宋_GB2312"/>
          <w:sz w:val="32"/>
          <w:szCs w:val="32"/>
          <w:highlight w:val="none"/>
          <w:lang w:val="en-US" w:eastAsia="zh-CN"/>
        </w:rPr>
        <w:t>（</w:t>
      </w:r>
      <w:r>
        <w:rPr>
          <w:rFonts w:ascii="Times New Roman" w:hAnsi="Times New Roman" w:eastAsia="仿宋_GB2312" w:cs="Times New Roman"/>
          <w:sz w:val="32"/>
          <w:szCs w:val="32"/>
          <w:highlight w:val="none"/>
        </w:rPr>
        <w:t>省级（含省际联盟）集中带量采购中选产品</w:t>
      </w:r>
      <w:r>
        <w:rPr>
          <w:rFonts w:hint="eastAsia" w:ascii="仿宋_GB2312" w:hAnsi="宋体" w:eastAsia="仿宋_GB2312"/>
          <w:sz w:val="32"/>
          <w:szCs w:val="32"/>
          <w:highlight w:val="none"/>
          <w:lang w:val="en-US" w:eastAsia="zh-CN"/>
        </w:rPr>
        <w:t>）</w:t>
      </w:r>
    </w:p>
    <w:p w14:paraId="2DF03F79">
      <w:pPr>
        <w:pStyle w:val="28"/>
        <w:numPr>
          <w:ilvl w:val="0"/>
          <w:numId w:val="1"/>
        </w:numPr>
        <w:ind w:firstLineChars="0"/>
        <w:rPr>
          <w:rFonts w:ascii="仿宋_GB2312" w:hAnsi="宋体" w:eastAsia="仿宋_GB2312"/>
          <w:sz w:val="32"/>
          <w:szCs w:val="32"/>
          <w:highlight w:val="none"/>
        </w:rPr>
      </w:pPr>
      <w:r>
        <w:rPr>
          <w:rFonts w:hint="eastAsia" w:ascii="Times New Roman" w:hAnsi="Times New Roman" w:eastAsia="仿宋_GB2312" w:cs="Times New Roman"/>
          <w:sz w:val="32"/>
          <w:szCs w:val="32"/>
          <w:highlight w:val="none"/>
        </w:rPr>
        <w:t>省级（含省际联盟）集中带量采购非中选产品</w:t>
      </w:r>
      <w:r>
        <w:rPr>
          <w:rFonts w:hint="eastAsia" w:ascii="Times New Roman" w:hAnsi="Times New Roman" w:eastAsia="仿宋_GB2312" w:cs="Times New Roman"/>
          <w:sz w:val="32"/>
          <w:szCs w:val="32"/>
          <w:highlight w:val="none"/>
          <w:lang w:val="en-US" w:eastAsia="zh-CN"/>
        </w:rPr>
        <w:t>报价</w:t>
      </w:r>
    </w:p>
    <w:p w14:paraId="2A798346">
      <w:pPr>
        <w:pStyle w:val="28"/>
        <w:numPr>
          <w:ilvl w:val="0"/>
          <w:numId w:val="1"/>
        </w:numPr>
        <w:ind w:firstLineChars="0"/>
        <w:rPr>
          <w:rFonts w:ascii="仿宋_GB2312" w:hAnsi="宋体" w:eastAsia="仿宋_GB2312"/>
          <w:sz w:val="32"/>
          <w:szCs w:val="32"/>
          <w:highlight w:val="none"/>
        </w:rPr>
      </w:pPr>
      <w:r>
        <w:rPr>
          <w:rFonts w:hint="eastAsia" w:ascii="仿宋_GB2312" w:hAnsi="宋体" w:eastAsia="仿宋_GB2312"/>
          <w:sz w:val="32"/>
          <w:szCs w:val="32"/>
          <w:highlight w:val="none"/>
        </w:rPr>
        <w:t>公示拟中选企业及产品</w:t>
      </w:r>
      <w:r>
        <w:rPr>
          <w:rFonts w:hint="eastAsia" w:ascii="仿宋_GB2312" w:hAnsi="宋体" w:eastAsia="仿宋_GB2312"/>
          <w:sz w:val="32"/>
          <w:szCs w:val="32"/>
          <w:highlight w:val="none"/>
          <w:lang w:val="en-US" w:eastAsia="zh-CN"/>
        </w:rPr>
        <w:t>（</w:t>
      </w:r>
      <w:r>
        <w:rPr>
          <w:rFonts w:ascii="Times New Roman" w:hAnsi="Times New Roman" w:eastAsia="仿宋_GB2312" w:cs="Times New Roman"/>
          <w:sz w:val="32"/>
          <w:szCs w:val="32"/>
          <w:highlight w:val="none"/>
        </w:rPr>
        <w:t>省级（含省际联盟）集中带量采购</w:t>
      </w:r>
      <w:r>
        <w:rPr>
          <w:rFonts w:hint="eastAsia" w:ascii="Times New Roman" w:hAnsi="Times New Roman" w:eastAsia="仿宋_GB2312" w:cs="Times New Roman"/>
          <w:sz w:val="32"/>
          <w:szCs w:val="32"/>
          <w:highlight w:val="none"/>
        </w:rPr>
        <w:t>非</w:t>
      </w:r>
      <w:r>
        <w:rPr>
          <w:rFonts w:ascii="Times New Roman" w:hAnsi="Times New Roman" w:eastAsia="仿宋_GB2312" w:cs="Times New Roman"/>
          <w:sz w:val="32"/>
          <w:szCs w:val="32"/>
          <w:highlight w:val="none"/>
        </w:rPr>
        <w:t>中选产品</w:t>
      </w:r>
      <w:r>
        <w:rPr>
          <w:rFonts w:hint="eastAsia" w:ascii="仿宋_GB2312" w:hAnsi="宋体" w:eastAsia="仿宋_GB2312"/>
          <w:sz w:val="32"/>
          <w:szCs w:val="32"/>
          <w:highlight w:val="none"/>
          <w:lang w:val="en-US" w:eastAsia="zh-CN"/>
        </w:rPr>
        <w:t>）</w:t>
      </w:r>
    </w:p>
    <w:p w14:paraId="0029F617">
      <w:pPr>
        <w:pStyle w:val="28"/>
        <w:numPr>
          <w:ilvl w:val="0"/>
          <w:numId w:val="1"/>
        </w:numPr>
        <w:ind w:firstLineChars="0"/>
        <w:rPr>
          <w:rFonts w:ascii="仿宋_GB2312" w:hAnsi="宋体" w:eastAsia="仿宋_GB2312"/>
          <w:sz w:val="32"/>
          <w:szCs w:val="32"/>
          <w:highlight w:val="none"/>
        </w:rPr>
      </w:pPr>
      <w:r>
        <w:rPr>
          <w:rFonts w:hint="eastAsia" w:ascii="仿宋_GB2312" w:hAnsi="宋体" w:eastAsia="仿宋_GB2312"/>
          <w:sz w:val="32"/>
          <w:szCs w:val="32"/>
          <w:highlight w:val="none"/>
        </w:rPr>
        <w:t>处理</w:t>
      </w:r>
      <w:r>
        <w:rPr>
          <w:rFonts w:hint="eastAsia" w:ascii="仿宋_GB2312" w:hAnsi="宋体" w:eastAsia="仿宋_GB2312"/>
          <w:sz w:val="32"/>
          <w:szCs w:val="32"/>
          <w:highlight w:val="none"/>
          <w:lang w:val="en-US" w:eastAsia="zh-CN"/>
        </w:rPr>
        <w:t>申投诉</w:t>
      </w:r>
    </w:p>
    <w:p w14:paraId="70F053AF">
      <w:pPr>
        <w:pStyle w:val="28"/>
        <w:numPr>
          <w:ilvl w:val="0"/>
          <w:numId w:val="1"/>
        </w:numPr>
        <w:ind w:firstLineChars="0"/>
        <w:rPr>
          <w:rFonts w:ascii="仿宋_GB2312" w:hAnsi="宋体" w:eastAsia="仿宋_GB2312"/>
          <w:sz w:val="32"/>
          <w:szCs w:val="32"/>
          <w:highlight w:val="none"/>
        </w:rPr>
      </w:pPr>
      <w:r>
        <w:rPr>
          <w:rFonts w:hint="eastAsia" w:ascii="仿宋_GB2312" w:hAnsi="宋体" w:eastAsia="仿宋_GB2312"/>
          <w:sz w:val="32"/>
          <w:szCs w:val="32"/>
          <w:highlight w:val="none"/>
        </w:rPr>
        <w:t>公布中选企业及产</w:t>
      </w:r>
      <w:r>
        <w:rPr>
          <w:rFonts w:ascii="仿宋_GB2312" w:hAnsi="宋体" w:eastAsia="仿宋_GB2312"/>
          <w:sz w:val="32"/>
          <w:szCs w:val="32"/>
          <w:highlight w:val="none"/>
        </w:rPr>
        <w:t>品</w:t>
      </w:r>
      <w:r>
        <w:rPr>
          <w:rFonts w:hint="eastAsia" w:ascii="仿宋_GB2312" w:hAnsi="宋体" w:eastAsia="仿宋_GB2312"/>
          <w:sz w:val="32"/>
          <w:szCs w:val="32"/>
          <w:highlight w:val="none"/>
          <w:lang w:val="en-US" w:eastAsia="zh-CN"/>
        </w:rPr>
        <w:t>（</w:t>
      </w:r>
      <w:r>
        <w:rPr>
          <w:rFonts w:ascii="Times New Roman" w:hAnsi="Times New Roman" w:eastAsia="仿宋_GB2312" w:cs="Times New Roman"/>
          <w:sz w:val="32"/>
          <w:szCs w:val="32"/>
          <w:highlight w:val="none"/>
        </w:rPr>
        <w:t>省级（含省际联盟）集中带量采购</w:t>
      </w:r>
      <w:r>
        <w:rPr>
          <w:rFonts w:hint="eastAsia" w:ascii="Times New Roman" w:hAnsi="Times New Roman" w:eastAsia="仿宋_GB2312" w:cs="Times New Roman"/>
          <w:sz w:val="32"/>
          <w:szCs w:val="32"/>
          <w:highlight w:val="none"/>
        </w:rPr>
        <w:t>非</w:t>
      </w:r>
      <w:r>
        <w:rPr>
          <w:rFonts w:ascii="Times New Roman" w:hAnsi="Times New Roman" w:eastAsia="仿宋_GB2312" w:cs="Times New Roman"/>
          <w:sz w:val="32"/>
          <w:szCs w:val="32"/>
          <w:highlight w:val="none"/>
        </w:rPr>
        <w:t>中选产品</w:t>
      </w:r>
      <w:r>
        <w:rPr>
          <w:rFonts w:hint="eastAsia" w:ascii="仿宋_GB2312" w:hAnsi="宋体" w:eastAsia="仿宋_GB2312"/>
          <w:sz w:val="32"/>
          <w:szCs w:val="32"/>
          <w:highlight w:val="none"/>
          <w:lang w:val="en-US" w:eastAsia="zh-CN"/>
        </w:rPr>
        <w:t>）</w:t>
      </w:r>
    </w:p>
    <w:p w14:paraId="4754345B">
      <w:pPr>
        <w:pStyle w:val="28"/>
        <w:numPr>
          <w:ilvl w:val="0"/>
          <w:numId w:val="1"/>
        </w:numPr>
        <w:ind w:firstLineChars="0"/>
        <w:rPr>
          <w:rFonts w:ascii="仿宋_GB2312" w:hAnsi="宋体" w:eastAsia="仿宋_GB2312"/>
          <w:sz w:val="32"/>
          <w:szCs w:val="32"/>
          <w:highlight w:val="none"/>
        </w:rPr>
      </w:pPr>
      <w:r>
        <w:rPr>
          <w:rFonts w:hint="eastAsia" w:ascii="仿宋_GB2312" w:hAnsi="宋体" w:eastAsia="仿宋_GB2312"/>
          <w:sz w:val="32"/>
          <w:szCs w:val="32"/>
          <w:highlight w:val="none"/>
        </w:rPr>
        <w:t>中选企业</w:t>
      </w:r>
      <w:r>
        <w:rPr>
          <w:rFonts w:ascii="仿宋_GB2312" w:hAnsi="宋体" w:eastAsia="仿宋_GB2312"/>
          <w:sz w:val="32"/>
          <w:szCs w:val="32"/>
          <w:highlight w:val="none"/>
        </w:rPr>
        <w:t>与医疗机构</w:t>
      </w:r>
      <w:r>
        <w:rPr>
          <w:rFonts w:hint="eastAsia" w:ascii="仿宋_GB2312" w:hAnsi="宋体" w:eastAsia="仿宋_GB2312"/>
          <w:sz w:val="32"/>
          <w:szCs w:val="32"/>
          <w:highlight w:val="none"/>
        </w:rPr>
        <w:t>签订合同</w:t>
      </w:r>
    </w:p>
    <w:p w14:paraId="4FF14264">
      <w:pPr>
        <w:pStyle w:val="28"/>
        <w:numPr>
          <w:ilvl w:val="0"/>
          <w:numId w:val="1"/>
        </w:numPr>
        <w:ind w:firstLineChars="0"/>
        <w:rPr>
          <w:rFonts w:hint="eastAsia" w:ascii="仿宋_GB2312" w:hAnsi="宋体" w:eastAsia="仿宋_GB2312"/>
          <w:sz w:val="32"/>
          <w:szCs w:val="32"/>
          <w:highlight w:val="none"/>
        </w:rPr>
      </w:pPr>
      <w:r>
        <w:rPr>
          <w:rFonts w:hint="eastAsia" w:ascii="仿宋_GB2312" w:hAnsi="宋体" w:eastAsia="仿宋_GB2312"/>
          <w:sz w:val="32"/>
          <w:szCs w:val="32"/>
          <w:highlight w:val="none"/>
        </w:rPr>
        <w:t>中选企业产品挂网交易</w:t>
      </w:r>
    </w:p>
    <w:p w14:paraId="7952DA93">
      <w:pPr>
        <w:pStyle w:val="3"/>
        <w:ind w:firstLine="640"/>
        <w:outlineLvl w:val="0"/>
        <w:rPr>
          <w:rFonts w:hint="eastAsia" w:ascii="Times New Roman" w:hAnsi="Times New Roman" w:cs="Times New Roman"/>
          <w:sz w:val="32"/>
          <w:highlight w:val="none"/>
          <w:lang w:val="en-US" w:eastAsia="zh-CN"/>
        </w:rPr>
      </w:pPr>
      <w:bookmarkStart w:id="29" w:name="_Toc32270"/>
      <w:r>
        <w:rPr>
          <w:rFonts w:hint="eastAsia" w:ascii="Times New Roman" w:hAnsi="Times New Roman" w:cs="Times New Roman"/>
          <w:sz w:val="32"/>
          <w:highlight w:val="none"/>
          <w:lang w:val="en-US" w:eastAsia="zh-CN"/>
        </w:rPr>
        <w:t>十、申报时间和方式</w:t>
      </w:r>
      <w:bookmarkEnd w:id="29"/>
    </w:p>
    <w:p w14:paraId="281B4F36">
      <w:pPr>
        <w:pStyle w:val="7"/>
        <w:ind w:left="0" w:leftChars="0" w:firstLine="624" w:firstLineChars="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楷体" w:cs="Times New Roman"/>
          <w:i w:val="0"/>
          <w:iCs w:val="0"/>
          <w:caps w:val="0"/>
          <w:color w:val="000000"/>
          <w:spacing w:val="0"/>
          <w:kern w:val="2"/>
          <w:sz w:val="32"/>
          <w:szCs w:val="32"/>
          <w:highlight w:val="none"/>
          <w:shd w:val="clear" w:fill="FCFCFC"/>
          <w:lang w:val="en-US" w:eastAsia="zh-CN" w:bidi="ar-SA"/>
        </w:rPr>
        <w:t>申报时间</w:t>
      </w:r>
      <w:r>
        <w:rPr>
          <w:rFonts w:hint="eastAsia" w:ascii="仿宋_GB2312" w:hAnsi="微软雅黑" w:eastAsia="仿宋_GB2312" w:cs="宋体"/>
          <w:color w:val="000000"/>
          <w:spacing w:val="-2"/>
          <w:kern w:val="0"/>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2025年1月6日-1月13日</w:t>
      </w:r>
    </w:p>
    <w:p w14:paraId="7A34B69D">
      <w:pPr>
        <w:pStyle w:val="7"/>
        <w:ind w:left="0" w:leftChars="0" w:firstLine="624" w:firstLineChars="0"/>
        <w:rPr>
          <w:rFonts w:hint="eastAsia" w:ascii="仿宋_GB2312" w:hAnsi="微软雅黑" w:eastAsia="仿宋_GB2312" w:cs="宋体"/>
          <w:b/>
          <w:bCs/>
          <w:color w:val="000000"/>
          <w:spacing w:val="-2"/>
          <w:kern w:val="0"/>
          <w:sz w:val="32"/>
          <w:szCs w:val="32"/>
          <w:highlight w:val="none"/>
          <w:lang w:val="en-US" w:eastAsia="zh-CN" w:bidi="ar-SA"/>
        </w:rPr>
      </w:pPr>
      <w:r>
        <w:rPr>
          <w:rFonts w:hint="eastAsia" w:ascii="Times New Roman" w:hAnsi="Times New Roman" w:eastAsia="楷体" w:cs="Times New Roman"/>
          <w:i w:val="0"/>
          <w:iCs w:val="0"/>
          <w:caps w:val="0"/>
          <w:color w:val="000000"/>
          <w:spacing w:val="0"/>
          <w:kern w:val="2"/>
          <w:sz w:val="32"/>
          <w:szCs w:val="32"/>
          <w:highlight w:val="none"/>
          <w:shd w:val="clear" w:fill="FCFCFC"/>
          <w:lang w:val="en-US" w:eastAsia="zh-CN" w:bidi="ar-SA"/>
        </w:rPr>
        <w:t>申报方式</w:t>
      </w:r>
      <w:r>
        <w:rPr>
          <w:rFonts w:hint="eastAsia" w:ascii="Times New Roman" w:hAnsi="Times New Roman" w:eastAsia="仿宋_GB2312" w:cs="Times New Roman"/>
          <w:sz w:val="32"/>
          <w:szCs w:val="32"/>
          <w:highlight w:val="none"/>
          <w:lang w:val="en-US" w:eastAsia="zh-CN"/>
        </w:rPr>
        <w:t>：企业登录山东省药品和医用耗材招采管理子系统（https://ypjc.ybj.shandong.gov.cn/login）进行填报，</w:t>
      </w:r>
      <w:r>
        <w:rPr>
          <w:rFonts w:hint="eastAsia" w:ascii="Times New Roman" w:hAnsi="Times New Roman" w:eastAsia="仿宋_GB2312" w:cs="Times New Roman"/>
          <w:b/>
          <w:bCs/>
          <w:sz w:val="32"/>
          <w:szCs w:val="32"/>
          <w:highlight w:val="none"/>
          <w:lang w:val="en-US" w:eastAsia="zh-CN"/>
        </w:rPr>
        <w:t>操作说明请查阅山东省药品和医用耗材招采管理子系统帮助文档</w:t>
      </w:r>
      <w:r>
        <w:rPr>
          <w:rFonts w:hint="eastAsia" w:ascii="Times New Roman" w:hAnsi="Times New Roman" w:eastAsia="仿宋_GB2312" w:cs="Times New Roman"/>
          <w:sz w:val="32"/>
          <w:szCs w:val="32"/>
          <w:highlight w:val="none"/>
          <w:lang w:val="en-US" w:eastAsia="zh-CN"/>
        </w:rPr>
        <w:t>。</w:t>
      </w:r>
    </w:p>
    <w:p w14:paraId="0B0A7C8A">
      <w:pPr>
        <w:pStyle w:val="7"/>
        <w:ind w:left="0" w:leftChars="0" w:firstLine="624" w:firstLineChars="0"/>
        <w:rPr>
          <w:rFonts w:hint="default" w:ascii="仿宋_GB2312" w:hAnsi="微软雅黑" w:eastAsia="仿宋_GB2312" w:cs="宋体"/>
          <w:b/>
          <w:bCs/>
          <w:color w:val="000000"/>
          <w:spacing w:val="-2"/>
          <w:kern w:val="0"/>
          <w:sz w:val="32"/>
          <w:szCs w:val="32"/>
          <w:highlight w:val="none"/>
          <w:lang w:val="en-US" w:eastAsia="zh-CN" w:bidi="ar-SA"/>
        </w:rPr>
      </w:pPr>
      <w:r>
        <w:rPr>
          <w:rFonts w:ascii="Times New Roman" w:hAnsi="Times New Roman" w:eastAsia="仿宋_GB2312" w:cs="Times New Roman"/>
          <w:sz w:val="32"/>
          <w:szCs w:val="32"/>
          <w:highlight w:val="none"/>
        </w:rPr>
        <w:t>省级（含省际联盟）集中带量采购</w:t>
      </w:r>
      <w:r>
        <w:rPr>
          <w:rFonts w:hint="eastAsia" w:ascii="Times New Roman" w:hAnsi="Times New Roman" w:eastAsia="仿宋_GB2312" w:cs="Times New Roman"/>
          <w:sz w:val="32"/>
          <w:szCs w:val="32"/>
          <w:highlight w:val="none"/>
        </w:rPr>
        <w:t>非</w:t>
      </w:r>
      <w:r>
        <w:rPr>
          <w:rFonts w:ascii="Times New Roman" w:hAnsi="Times New Roman" w:eastAsia="仿宋_GB2312" w:cs="Times New Roman"/>
          <w:sz w:val="32"/>
          <w:szCs w:val="32"/>
          <w:highlight w:val="none"/>
        </w:rPr>
        <w:t>中选产品</w:t>
      </w:r>
      <w:r>
        <w:rPr>
          <w:rFonts w:hint="eastAsia" w:ascii="Times New Roman" w:hAnsi="Times New Roman" w:eastAsia="仿宋_GB2312" w:cs="Times New Roman"/>
          <w:sz w:val="32"/>
          <w:szCs w:val="32"/>
          <w:highlight w:val="none"/>
          <w:lang w:val="en-US" w:eastAsia="zh-CN"/>
        </w:rPr>
        <w:t>报价时间另行通知。</w:t>
      </w:r>
    </w:p>
    <w:p w14:paraId="6671ECAA">
      <w:pPr>
        <w:pStyle w:val="3"/>
        <w:ind w:firstLine="640"/>
        <w:outlineLvl w:val="0"/>
        <w:rPr>
          <w:rFonts w:hint="eastAsia" w:ascii="Times New Roman" w:hAnsi="Times New Roman" w:cs="Times New Roman"/>
          <w:sz w:val="32"/>
          <w:highlight w:val="none"/>
          <w:lang w:val="en-US" w:eastAsia="zh-CN"/>
        </w:rPr>
      </w:pPr>
      <w:bookmarkStart w:id="30" w:name="_Toc8283"/>
      <w:r>
        <w:rPr>
          <w:rFonts w:hint="eastAsia" w:ascii="Times New Roman" w:hAnsi="Times New Roman" w:cs="Times New Roman"/>
          <w:sz w:val="32"/>
          <w:highlight w:val="none"/>
          <w:lang w:val="en-US" w:eastAsia="zh-CN"/>
        </w:rPr>
        <w:t>十一、联系方式</w:t>
      </w:r>
      <w:bookmarkEnd w:id="30"/>
    </w:p>
    <w:p w14:paraId="7D0984BF">
      <w:pPr>
        <w:wordWrap w:val="0"/>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联系电话：0531-51778916/51778917（节假日除外）。</w:t>
      </w:r>
    </w:p>
    <w:p w14:paraId="3AD1D23D">
      <w:pPr>
        <w:pStyle w:val="3"/>
        <w:ind w:firstLine="640"/>
        <w:outlineLvl w:val="0"/>
        <w:rPr>
          <w:rFonts w:ascii="Times New Roman" w:hAnsi="Times New Roman" w:cs="Times New Roman"/>
          <w:sz w:val="32"/>
          <w:highlight w:val="none"/>
        </w:rPr>
      </w:pPr>
      <w:bookmarkStart w:id="31" w:name="_Toc87519589"/>
      <w:bookmarkStart w:id="32" w:name="_Toc86750495"/>
      <w:bookmarkStart w:id="33" w:name="_Toc22262"/>
      <w:r>
        <w:rPr>
          <w:rFonts w:hint="eastAsia" w:ascii="Times New Roman" w:hAnsi="Times New Roman" w:cs="Times New Roman"/>
          <w:sz w:val="32"/>
          <w:highlight w:val="none"/>
          <w:lang w:val="en-US" w:eastAsia="zh-CN"/>
        </w:rPr>
        <w:t>十二</w:t>
      </w:r>
      <w:r>
        <w:rPr>
          <w:rFonts w:hint="eastAsia" w:ascii="Times New Roman" w:hAnsi="Times New Roman" w:cs="Times New Roman"/>
          <w:sz w:val="32"/>
          <w:highlight w:val="none"/>
        </w:rPr>
        <w:t>、其他</w:t>
      </w:r>
      <w:bookmarkEnd w:id="31"/>
      <w:bookmarkEnd w:id="32"/>
      <w:bookmarkEnd w:id="33"/>
    </w:p>
    <w:p w14:paraId="544586F1">
      <w:pPr>
        <w:wordWrap w:val="0"/>
        <w:spacing w:line="600" w:lineRule="exact"/>
        <w:ind w:firstLine="640" w:firstLineChars="200"/>
        <w:rPr>
          <w:rFonts w:hint="eastAsia" w:ascii="Times New Roman" w:hAnsi="Times New Roman" w:eastAsia="楷体" w:cs="Times New Roman"/>
          <w:sz w:val="32"/>
          <w:szCs w:val="32"/>
          <w:highlight w:val="none"/>
          <w:lang w:val="en-US" w:eastAsia="zh-CN"/>
        </w:rPr>
      </w:pPr>
      <w:r>
        <w:rPr>
          <w:rFonts w:hint="eastAsia" w:ascii="Times New Roman" w:hAnsi="Times New Roman" w:eastAsia="楷体" w:cs="Times New Roman"/>
          <w:sz w:val="32"/>
          <w:szCs w:val="32"/>
          <w:highlight w:val="none"/>
        </w:rPr>
        <w:t>（一）申报企业、中选企业、配送企业如有以下行为，经有关部门认定情节严重的将被列入</w:t>
      </w:r>
      <w:r>
        <w:rPr>
          <w:rFonts w:ascii="Times New Roman" w:hAnsi="Times New Roman" w:eastAsia="楷体" w:cs="Times New Roman"/>
          <w:sz w:val="32"/>
          <w:szCs w:val="32"/>
          <w:highlight w:val="none"/>
        </w:rPr>
        <w:t>“</w:t>
      </w:r>
      <w:r>
        <w:rPr>
          <w:rFonts w:hint="eastAsia" w:ascii="Times New Roman" w:hAnsi="Times New Roman" w:eastAsia="楷体" w:cs="Times New Roman"/>
          <w:sz w:val="32"/>
          <w:szCs w:val="32"/>
          <w:highlight w:val="none"/>
        </w:rPr>
        <w:t>违规名</w:t>
      </w:r>
      <w:r>
        <w:rPr>
          <w:rFonts w:hint="eastAsia" w:ascii="Times New Roman" w:hAnsi="Times New Roman" w:eastAsia="楷体" w:cs="Times New Roman"/>
          <w:sz w:val="32"/>
          <w:szCs w:val="32"/>
          <w:highlight w:val="none"/>
          <w:lang w:val="en-US" w:eastAsia="zh-CN"/>
        </w:rPr>
        <w:t>单”，并依据《国家医保局关于建立医药价格和招采信用评价制度的指导意见》（医保发〔2020〕34号）相关规定处理：</w:t>
      </w:r>
    </w:p>
    <w:p w14:paraId="38EC8A67">
      <w:pPr>
        <w:wordWrap w:val="0"/>
        <w:spacing w:line="60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1.申报品种不符合</w:t>
      </w:r>
      <w:r>
        <w:rPr>
          <w:rFonts w:hint="eastAsia" w:ascii="仿宋_GB2312" w:hAnsi="Times New Roman" w:eastAsia="仿宋_GB2312" w:cs="Times New Roman"/>
          <w:sz w:val="32"/>
          <w:szCs w:val="32"/>
          <w:highlight w:val="none"/>
          <w:lang w:val="en-US" w:eastAsia="zh-CN"/>
        </w:rPr>
        <w:t>申报要求</w:t>
      </w:r>
      <w:r>
        <w:rPr>
          <w:rFonts w:hint="eastAsia" w:ascii="仿宋_GB2312" w:hAnsi="Times New Roman" w:eastAsia="仿宋_GB2312" w:cs="Times New Roman"/>
          <w:sz w:val="32"/>
          <w:szCs w:val="32"/>
          <w:highlight w:val="none"/>
        </w:rPr>
        <w:t>或涉嫌不如实提供材料。</w:t>
      </w:r>
    </w:p>
    <w:p w14:paraId="3EFEA5DC">
      <w:pPr>
        <w:wordWrap w:val="0"/>
        <w:spacing w:line="60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2.提供商业贿赂，进行非法促销活动。</w:t>
      </w:r>
    </w:p>
    <w:p w14:paraId="2B8AD758">
      <w:pPr>
        <w:wordWrap w:val="0"/>
        <w:spacing w:line="60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3.以低于成本的价格恶意申报，扰乱市场秩序。</w:t>
      </w:r>
    </w:p>
    <w:p w14:paraId="1649A6EA">
      <w:pPr>
        <w:wordWrap w:val="0"/>
        <w:spacing w:line="600" w:lineRule="exact"/>
        <w:ind w:firstLine="640" w:firstLineChars="200"/>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rPr>
        <w:t>4.相互串通申报、协商报价，排斥其他申报企业的公平竞争，损害医疗机构或者其他申报企业的合法利益。</w:t>
      </w:r>
      <w:r>
        <w:rPr>
          <w:rFonts w:hint="eastAsia" w:ascii="仿宋_GB2312" w:hAnsi="Times New Roman" w:eastAsia="仿宋_GB2312" w:cs="Times New Roman"/>
          <w:sz w:val="32"/>
          <w:szCs w:val="32"/>
          <w:highlight w:val="none"/>
          <w:lang w:val="en-US" w:eastAsia="zh-CN"/>
        </w:rPr>
        <w:t>申报企业</w:t>
      </w:r>
      <w:r>
        <w:rPr>
          <w:rFonts w:hint="eastAsia" w:ascii="仿宋_GB2312" w:hAnsi="Times New Roman" w:eastAsia="仿宋_GB2312" w:cs="Times New Roman"/>
          <w:sz w:val="32"/>
          <w:szCs w:val="32"/>
          <w:highlight w:val="none"/>
        </w:rPr>
        <w:t>经调查确认存在串通申报、协商报价等违背在申报材料中作出的承诺等行为的，取消中选资格并予以相应处罚</w:t>
      </w:r>
      <w:r>
        <w:rPr>
          <w:rFonts w:hint="eastAsia" w:ascii="仿宋_GB2312" w:hAnsi="Times New Roman" w:eastAsia="仿宋_GB2312" w:cs="Times New Roman"/>
          <w:sz w:val="32"/>
          <w:szCs w:val="32"/>
          <w:highlight w:val="none"/>
          <w:lang w:eastAsia="zh-CN"/>
        </w:rPr>
        <w:t>。</w:t>
      </w:r>
    </w:p>
    <w:p w14:paraId="2C07AADA">
      <w:pPr>
        <w:wordWrap w:val="0"/>
        <w:spacing w:line="60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5.采取行贿等手段牟取中选。</w:t>
      </w:r>
    </w:p>
    <w:p w14:paraId="27AAD487">
      <w:pPr>
        <w:wordWrap w:val="0"/>
        <w:spacing w:line="60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6.提供虚假证明文件及文献资料，或者以其他方式弄虚作假，骗取</w:t>
      </w:r>
      <w:r>
        <w:rPr>
          <w:rFonts w:hint="eastAsia" w:ascii="仿宋_GB2312" w:hAnsi="Times New Roman" w:eastAsia="仿宋_GB2312" w:cs="Times New Roman"/>
          <w:sz w:val="32"/>
          <w:szCs w:val="32"/>
          <w:highlight w:val="none"/>
          <w:lang w:val="en-US" w:eastAsia="zh-CN"/>
        </w:rPr>
        <w:t>中选</w:t>
      </w:r>
      <w:r>
        <w:rPr>
          <w:rFonts w:hint="eastAsia" w:ascii="仿宋_GB2312" w:hAnsi="Times New Roman" w:eastAsia="仿宋_GB2312" w:cs="Times New Roman"/>
          <w:sz w:val="32"/>
          <w:szCs w:val="32"/>
          <w:highlight w:val="none"/>
        </w:rPr>
        <w:t>。</w:t>
      </w:r>
    </w:p>
    <w:p w14:paraId="442296A7">
      <w:pPr>
        <w:wordWrap w:val="0"/>
        <w:spacing w:line="60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7.在规定期限内不签订购销协议。</w:t>
      </w:r>
    </w:p>
    <w:p w14:paraId="1D2D5372">
      <w:pPr>
        <w:wordWrap w:val="0"/>
        <w:spacing w:line="60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8.未按采购</w:t>
      </w:r>
      <w:r>
        <w:rPr>
          <w:rFonts w:hint="eastAsia" w:ascii="仿宋_GB2312" w:hAnsi="Times New Roman" w:eastAsia="仿宋_GB2312" w:cs="Times New Roman"/>
          <w:sz w:val="32"/>
          <w:szCs w:val="32"/>
          <w:highlight w:val="none"/>
          <w:lang w:val="en-US" w:eastAsia="zh-CN"/>
        </w:rPr>
        <w:t>协议</w:t>
      </w:r>
      <w:r>
        <w:rPr>
          <w:rFonts w:hint="eastAsia" w:ascii="仿宋_GB2312" w:hAnsi="Times New Roman" w:eastAsia="仿宋_GB2312" w:cs="Times New Roman"/>
          <w:sz w:val="32"/>
          <w:szCs w:val="32"/>
          <w:highlight w:val="none"/>
        </w:rPr>
        <w:t>及法律法规要求实行配送。</w:t>
      </w:r>
    </w:p>
    <w:p w14:paraId="40EBBD5B">
      <w:pPr>
        <w:wordWrap w:val="0"/>
        <w:spacing w:line="60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9.</w:t>
      </w:r>
      <w:r>
        <w:rPr>
          <w:rFonts w:hint="eastAsia" w:ascii="仿宋_GB2312" w:hAnsi="Times New Roman" w:eastAsia="仿宋_GB2312" w:cs="Times New Roman"/>
          <w:sz w:val="32"/>
          <w:szCs w:val="32"/>
          <w:highlight w:val="none"/>
          <w:lang w:val="en-US" w:eastAsia="zh-CN"/>
        </w:rPr>
        <w:t>拟中选</w:t>
      </w:r>
      <w:r>
        <w:rPr>
          <w:rFonts w:hint="eastAsia" w:ascii="仿宋_GB2312" w:hAnsi="Times New Roman" w:eastAsia="仿宋_GB2312" w:cs="Times New Roman"/>
          <w:sz w:val="32"/>
          <w:szCs w:val="32"/>
          <w:highlight w:val="none"/>
        </w:rPr>
        <w:t>或中选后放弃拟中选或中选资格。</w:t>
      </w:r>
    </w:p>
    <w:p w14:paraId="2552E4A4">
      <w:pPr>
        <w:wordWrap w:val="0"/>
        <w:spacing w:line="60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10.不履行</w:t>
      </w:r>
      <w:r>
        <w:rPr>
          <w:rFonts w:hint="eastAsia" w:ascii="仿宋_GB2312" w:hAnsi="Times New Roman" w:eastAsia="仿宋_GB2312" w:cs="Times New Roman"/>
          <w:sz w:val="32"/>
          <w:szCs w:val="32"/>
          <w:highlight w:val="none"/>
          <w:lang w:val="en-US" w:eastAsia="zh-CN"/>
        </w:rPr>
        <w:t>中选产品或配套工具、伴随服务等</w:t>
      </w:r>
      <w:r>
        <w:rPr>
          <w:rFonts w:hint="eastAsia" w:ascii="仿宋_GB2312" w:hAnsi="Times New Roman" w:eastAsia="仿宋_GB2312" w:cs="Times New Roman"/>
          <w:sz w:val="32"/>
          <w:szCs w:val="32"/>
          <w:highlight w:val="none"/>
        </w:rPr>
        <w:t>供货承诺，影响到临床使用。</w:t>
      </w:r>
    </w:p>
    <w:p w14:paraId="056A2A7C">
      <w:pPr>
        <w:wordWrap w:val="0"/>
        <w:spacing w:line="60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11.中选</w:t>
      </w:r>
      <w:r>
        <w:rPr>
          <w:rFonts w:hint="eastAsia" w:ascii="仿宋_GB2312" w:hAnsi="Times New Roman" w:eastAsia="仿宋_GB2312" w:cs="Times New Roman"/>
          <w:sz w:val="32"/>
          <w:szCs w:val="32"/>
          <w:highlight w:val="none"/>
          <w:lang w:val="en-US" w:eastAsia="zh-CN"/>
        </w:rPr>
        <w:t>产品或配套工具、伴随服务等</w:t>
      </w:r>
      <w:r>
        <w:rPr>
          <w:rFonts w:hint="eastAsia" w:ascii="仿宋_GB2312" w:hAnsi="Times New Roman" w:eastAsia="仿宋_GB2312" w:cs="Times New Roman"/>
          <w:sz w:val="32"/>
          <w:szCs w:val="32"/>
          <w:highlight w:val="none"/>
        </w:rPr>
        <w:t>发生严重质量问题。</w:t>
      </w:r>
    </w:p>
    <w:p w14:paraId="6D9760C6">
      <w:pPr>
        <w:wordWrap w:val="0"/>
        <w:spacing w:line="600" w:lineRule="exact"/>
        <w:ind w:firstLine="640" w:firstLineChars="200"/>
        <w:rPr>
          <w:rFonts w:hint="default"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rPr>
        <w:t>12.</w:t>
      </w:r>
      <w:r>
        <w:rPr>
          <w:rFonts w:hint="eastAsia" w:ascii="仿宋_GB2312" w:hAnsi="Times New Roman" w:eastAsia="仿宋_GB2312" w:cs="Times New Roman"/>
          <w:sz w:val="32"/>
          <w:szCs w:val="32"/>
          <w:highlight w:val="none"/>
          <w:lang w:val="en-US" w:eastAsia="zh-CN"/>
        </w:rPr>
        <w:t>中选产品因不符合医疗器械生产质量管理规范被药品监督管理部门处以暂停生产、进口、经营和使用等控制措施。</w:t>
      </w:r>
    </w:p>
    <w:p w14:paraId="5CE59344">
      <w:pPr>
        <w:wordWrap w:val="0"/>
        <w:spacing w:line="60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1</w:t>
      </w:r>
      <w:r>
        <w:rPr>
          <w:rFonts w:hint="eastAsia" w:ascii="仿宋_GB2312" w:hAnsi="Times New Roman" w:eastAsia="仿宋_GB2312" w:cs="Times New Roman"/>
          <w:sz w:val="32"/>
          <w:szCs w:val="32"/>
          <w:highlight w:val="none"/>
          <w:lang w:val="en-US" w:eastAsia="zh-CN"/>
        </w:rPr>
        <w:t>3</w:t>
      </w:r>
      <w:r>
        <w:rPr>
          <w:rFonts w:hint="eastAsia" w:ascii="仿宋_GB2312" w:hAnsi="Times New Roman" w:eastAsia="仿宋_GB2312" w:cs="Times New Roman"/>
          <w:sz w:val="32"/>
          <w:szCs w:val="32"/>
          <w:highlight w:val="none"/>
        </w:rPr>
        <w:t>.在抽检或飞行检查中发现中选企业严重违背在申报材料中作出的承诺。</w:t>
      </w:r>
    </w:p>
    <w:p w14:paraId="22B01082">
      <w:pPr>
        <w:wordWrap w:val="0"/>
        <w:spacing w:line="60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1</w:t>
      </w:r>
      <w:r>
        <w:rPr>
          <w:rFonts w:hint="eastAsia" w:ascii="仿宋_GB2312" w:hAnsi="Times New Roman" w:eastAsia="仿宋_GB2312" w:cs="Times New Roman"/>
          <w:sz w:val="32"/>
          <w:szCs w:val="32"/>
          <w:highlight w:val="none"/>
          <w:lang w:val="en-US" w:eastAsia="zh-CN"/>
        </w:rPr>
        <w:t>4</w:t>
      </w: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sz w:val="32"/>
          <w:szCs w:val="32"/>
          <w:highlight w:val="none"/>
          <w:lang w:val="en-US" w:eastAsia="zh-CN"/>
        </w:rPr>
        <w:t>通过</w:t>
      </w:r>
      <w:r>
        <w:rPr>
          <w:rFonts w:hint="eastAsia" w:ascii="仿宋_GB2312" w:hAnsi="Times New Roman" w:eastAsia="仿宋_GB2312" w:cs="Times New Roman"/>
          <w:sz w:val="32"/>
          <w:szCs w:val="32"/>
          <w:highlight w:val="none"/>
        </w:rPr>
        <w:t>恶意投诉</w:t>
      </w:r>
      <w:r>
        <w:rPr>
          <w:rFonts w:hint="eastAsia" w:ascii="仿宋_GB2312" w:hAnsi="Times New Roman" w:eastAsia="仿宋_GB2312" w:cs="Times New Roman"/>
          <w:sz w:val="32"/>
          <w:szCs w:val="32"/>
          <w:highlight w:val="none"/>
          <w:lang w:val="en-US" w:eastAsia="zh-CN"/>
        </w:rPr>
        <w:t>等不正当手段竞争</w:t>
      </w:r>
      <w:r>
        <w:rPr>
          <w:rFonts w:hint="eastAsia" w:ascii="仿宋_GB2312" w:hAnsi="Times New Roman" w:eastAsia="仿宋_GB2312" w:cs="Times New Roman"/>
          <w:sz w:val="32"/>
          <w:szCs w:val="32"/>
          <w:highlight w:val="none"/>
        </w:rPr>
        <w:t>。</w:t>
      </w:r>
    </w:p>
    <w:p w14:paraId="385EC248">
      <w:pPr>
        <w:wordWrap w:val="0"/>
        <w:spacing w:line="60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1</w:t>
      </w:r>
      <w:r>
        <w:rPr>
          <w:rFonts w:hint="eastAsia" w:ascii="仿宋_GB2312" w:hAnsi="Times New Roman" w:eastAsia="仿宋_GB2312" w:cs="Times New Roman"/>
          <w:sz w:val="32"/>
          <w:szCs w:val="32"/>
          <w:highlight w:val="none"/>
          <w:lang w:val="en-US" w:eastAsia="zh-CN"/>
        </w:rPr>
        <w:t>5</w:t>
      </w:r>
      <w:r>
        <w:rPr>
          <w:rFonts w:hint="eastAsia" w:ascii="仿宋_GB2312" w:hAnsi="Times New Roman" w:eastAsia="仿宋_GB2312" w:cs="Times New Roman"/>
          <w:sz w:val="32"/>
          <w:szCs w:val="32"/>
          <w:highlight w:val="none"/>
        </w:rPr>
        <w:t>.蓄意干扰</w:t>
      </w:r>
      <w:r>
        <w:rPr>
          <w:rFonts w:hint="eastAsia" w:ascii="仿宋_GB2312" w:hAnsi="Times New Roman" w:eastAsia="仿宋_GB2312" w:cs="Times New Roman"/>
          <w:sz w:val="32"/>
          <w:szCs w:val="32"/>
          <w:highlight w:val="none"/>
          <w:lang w:val="en-US" w:eastAsia="zh-CN"/>
        </w:rPr>
        <w:t>集中带量采购</w:t>
      </w:r>
      <w:r>
        <w:rPr>
          <w:rFonts w:hint="eastAsia" w:ascii="仿宋_GB2312" w:hAnsi="Times New Roman" w:eastAsia="仿宋_GB2312" w:cs="Times New Roman"/>
          <w:sz w:val="32"/>
          <w:szCs w:val="32"/>
          <w:highlight w:val="none"/>
        </w:rPr>
        <w:t>相关工作秩序。</w:t>
      </w:r>
    </w:p>
    <w:p w14:paraId="79CE74C0">
      <w:pPr>
        <w:wordWrap w:val="0"/>
        <w:spacing w:line="60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1</w:t>
      </w:r>
      <w:r>
        <w:rPr>
          <w:rFonts w:hint="eastAsia" w:ascii="仿宋_GB2312" w:hAnsi="Times New Roman" w:eastAsia="仿宋_GB2312" w:cs="Times New Roman"/>
          <w:sz w:val="32"/>
          <w:szCs w:val="32"/>
          <w:highlight w:val="none"/>
          <w:lang w:val="en-US" w:eastAsia="zh-CN"/>
        </w:rPr>
        <w:t>6</w:t>
      </w:r>
      <w:r>
        <w:rPr>
          <w:rFonts w:hint="eastAsia" w:ascii="仿宋_GB2312" w:hAnsi="Times New Roman" w:eastAsia="仿宋_GB2312" w:cs="Times New Roman"/>
          <w:sz w:val="32"/>
          <w:szCs w:val="32"/>
          <w:highlight w:val="none"/>
        </w:rPr>
        <w:t>.其他违反法律法规的行为。</w:t>
      </w:r>
    </w:p>
    <w:p w14:paraId="30FE415B">
      <w:pPr>
        <w:wordWrap w:val="0"/>
        <w:spacing w:line="600" w:lineRule="exact"/>
        <w:ind w:firstLine="640" w:firstLineChars="200"/>
        <w:rPr>
          <w:rFonts w:ascii="Times New Roman" w:hAnsi="Times New Roman" w:eastAsia="楷体" w:cs="Times New Roman"/>
          <w:sz w:val="32"/>
          <w:szCs w:val="32"/>
          <w:highlight w:val="none"/>
        </w:rPr>
      </w:pPr>
      <w:r>
        <w:rPr>
          <w:rFonts w:hint="eastAsia" w:ascii="Times New Roman" w:hAnsi="Times New Roman" w:eastAsia="楷体" w:cs="Times New Roman"/>
          <w:sz w:val="32"/>
          <w:szCs w:val="32"/>
          <w:highlight w:val="none"/>
        </w:rPr>
        <w:t>（二）列入</w:t>
      </w:r>
      <w:r>
        <w:rPr>
          <w:rFonts w:ascii="Times New Roman" w:hAnsi="Times New Roman" w:eastAsia="楷体" w:cs="Times New Roman"/>
          <w:sz w:val="32"/>
          <w:szCs w:val="32"/>
          <w:highlight w:val="none"/>
        </w:rPr>
        <w:t>“</w:t>
      </w:r>
      <w:r>
        <w:rPr>
          <w:rFonts w:hint="eastAsia" w:ascii="Times New Roman" w:hAnsi="Times New Roman" w:eastAsia="楷体" w:cs="Times New Roman"/>
          <w:sz w:val="32"/>
          <w:szCs w:val="32"/>
          <w:highlight w:val="none"/>
        </w:rPr>
        <w:t>违规名单</w:t>
      </w:r>
      <w:r>
        <w:rPr>
          <w:rFonts w:ascii="Times New Roman" w:hAnsi="Times New Roman" w:eastAsia="楷体" w:cs="Times New Roman"/>
          <w:sz w:val="32"/>
          <w:szCs w:val="32"/>
          <w:highlight w:val="none"/>
        </w:rPr>
        <w:t>”</w:t>
      </w:r>
      <w:r>
        <w:rPr>
          <w:rFonts w:hint="eastAsia" w:ascii="Times New Roman" w:hAnsi="Times New Roman" w:eastAsia="楷体" w:cs="Times New Roman"/>
          <w:sz w:val="32"/>
          <w:szCs w:val="32"/>
          <w:highlight w:val="none"/>
        </w:rPr>
        <w:t>的相关企业，按以下方式处理</w:t>
      </w:r>
    </w:p>
    <w:p w14:paraId="19BD0255">
      <w:pPr>
        <w:wordWrap w:val="0"/>
        <w:spacing w:line="60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1.申报企业列入“违规名单”的，取消该企业的申报资格；中选企业列入“违规名单”的，取消该企业的中选资格。同时视情节轻重取消上述企业在列入“违规名单”之日起2年内参与山东省组织的医用耗材采购活动的资格。</w:t>
      </w:r>
    </w:p>
    <w:p w14:paraId="4DC68399">
      <w:pPr>
        <w:wordWrap w:val="0"/>
        <w:spacing w:line="58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2.配送企业列入“违规名单”的，取消该企业自列入“违规名单”之日起2年内参与山东省组织的医用耗材集中采购配送的资格。</w:t>
      </w:r>
    </w:p>
    <w:p w14:paraId="5981A4F2">
      <w:pPr>
        <w:wordWrap w:val="0"/>
        <w:spacing w:line="600" w:lineRule="exact"/>
        <w:ind w:firstLine="640" w:firstLineChars="200"/>
        <w:rPr>
          <w:rFonts w:ascii="Times New Roman" w:hAnsi="Times New Roman" w:eastAsia="楷体" w:cs="Times New Roman"/>
          <w:sz w:val="32"/>
          <w:szCs w:val="32"/>
          <w:highlight w:val="none"/>
        </w:rPr>
      </w:pPr>
      <w:r>
        <w:rPr>
          <w:rFonts w:hint="eastAsia" w:ascii="Times New Roman" w:hAnsi="Times New Roman" w:eastAsia="楷体" w:cs="Times New Roman"/>
          <w:sz w:val="32"/>
          <w:szCs w:val="32"/>
          <w:highlight w:val="none"/>
        </w:rPr>
        <w:t>（三）其他事项</w:t>
      </w:r>
    </w:p>
    <w:p w14:paraId="2E089A6A">
      <w:pPr>
        <w:wordWrap w:val="0"/>
        <w:spacing w:line="58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1.中选产品出现被药品监督管理部门暂停生产、销售、使用、进口等情况，取消中选资格。</w:t>
      </w:r>
    </w:p>
    <w:p w14:paraId="42EB7D75">
      <w:pPr>
        <w:wordWrap w:val="0"/>
        <w:spacing w:line="580" w:lineRule="exact"/>
        <w:ind w:firstLine="640" w:firstLineChars="200"/>
        <w:rPr>
          <w:rFonts w:hint="eastAsia" w:ascii="仿宋_GB2312" w:hAnsi="Times New Roman" w:eastAsia="仿宋_GB2312" w:cs="Times New Roman"/>
          <w:sz w:val="32"/>
          <w:szCs w:val="32"/>
          <w:highlight w:val="none"/>
        </w:rPr>
      </w:pPr>
      <w:r>
        <w:rPr>
          <w:rFonts w:ascii="仿宋_GB2312" w:hAnsi="Times New Roman" w:eastAsia="仿宋_GB2312" w:cs="Times New Roman"/>
          <w:sz w:val="32"/>
          <w:szCs w:val="32"/>
          <w:highlight w:val="none"/>
        </w:rPr>
        <w:t>2</w:t>
      </w:r>
      <w:r>
        <w:rPr>
          <w:rFonts w:hint="eastAsia" w:ascii="仿宋_GB2312" w:hAnsi="Times New Roman" w:eastAsia="仿宋_GB2312" w:cs="Times New Roman"/>
          <w:sz w:val="32"/>
          <w:szCs w:val="32"/>
          <w:highlight w:val="none"/>
        </w:rPr>
        <w:t>.采购周期内，若中选产品配送企业被列入“违规名单”，中选企业应及时选择其他配送企业，确保中选产品及时配送。</w:t>
      </w:r>
    </w:p>
    <w:p w14:paraId="73C8268D">
      <w:pPr>
        <w:wordWrap w:val="0"/>
        <w:spacing w:line="580" w:lineRule="exact"/>
        <w:ind w:firstLine="640" w:firstLineChars="200"/>
        <w:rPr>
          <w:rFonts w:hint="default"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3</w:t>
      </w: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sz w:val="32"/>
          <w:szCs w:val="32"/>
          <w:highlight w:val="none"/>
          <w:lang w:val="en-US" w:eastAsia="zh-CN"/>
        </w:rPr>
        <w:t>严格落实中选企业自主选择配送企业。</w:t>
      </w:r>
    </w:p>
    <w:p w14:paraId="30F88325">
      <w:pPr>
        <w:wordWrap w:val="0"/>
        <w:spacing w:line="58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val="en-US" w:eastAsia="zh-CN"/>
        </w:rPr>
        <w:t>4</w:t>
      </w:r>
      <w:r>
        <w:rPr>
          <w:rFonts w:hint="eastAsia" w:ascii="仿宋_GB2312" w:hAnsi="Times New Roman" w:eastAsia="仿宋_GB2312" w:cs="Times New Roman"/>
          <w:sz w:val="32"/>
          <w:szCs w:val="32"/>
          <w:highlight w:val="none"/>
        </w:rPr>
        <w:t>.患者因使用中选产品生产质量问题造成的损失，中选企业应按照相关规定承担全部责任。</w:t>
      </w:r>
    </w:p>
    <w:p w14:paraId="18366EEC">
      <w:pPr>
        <w:pStyle w:val="5"/>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val="en-US" w:eastAsia="zh-CN"/>
        </w:rPr>
        <w:t>5</w:t>
      </w:r>
      <w:r>
        <w:rPr>
          <w:rFonts w:hint="eastAsia" w:ascii="仿宋_GB2312" w:hAnsi="Times New Roman" w:eastAsia="仿宋_GB2312" w:cs="Times New Roman"/>
          <w:sz w:val="32"/>
          <w:szCs w:val="32"/>
          <w:highlight w:val="none"/>
        </w:rPr>
        <w:t>.中选产品出现被药品监督管理部门暂停生产、进口、经营和使用等情况，取消中选资格。</w:t>
      </w:r>
    </w:p>
    <w:p w14:paraId="03BB103A">
      <w:pPr>
        <w:pStyle w:val="5"/>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val="en-US" w:eastAsia="zh-CN"/>
        </w:rPr>
        <w:t>6</w:t>
      </w:r>
      <w:r>
        <w:rPr>
          <w:rFonts w:hint="eastAsia" w:ascii="仿宋_GB2312" w:hAnsi="Times New Roman" w:eastAsia="仿宋_GB2312" w:cs="Times New Roman"/>
          <w:sz w:val="32"/>
          <w:szCs w:val="32"/>
          <w:highlight w:val="none"/>
        </w:rPr>
        <w:t>.采购周期内，中选企业出现无法保证供应等情况，致使采购协议无法继续履行时，由医疗机构在同一产品类别下从中选企业中自主选择价格适宜的产品，因保障供应产生的额外支出由无法履行采购协议的原中选企业承担。</w:t>
      </w:r>
    </w:p>
    <w:p w14:paraId="31DDC044">
      <w:pPr>
        <w:pStyle w:val="5"/>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7.采购周期内，若中选产品的配送企业被列入“违规名单”中选企业应及时选择其他配送企业，确保中选产品及时配送。</w:t>
      </w:r>
    </w:p>
    <w:p w14:paraId="0DF22A22">
      <w:pPr>
        <w:pStyle w:val="5"/>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8.因中选产品存在生产质量问题，给患者造成损失的，按照相关规定，由中选企业承担全部赔偿责任。</w:t>
      </w:r>
    </w:p>
    <w:p w14:paraId="487E9529">
      <w:pPr>
        <w:wordWrap w:val="0"/>
        <w:spacing w:line="600" w:lineRule="exact"/>
        <w:ind w:firstLine="640" w:firstLineChars="200"/>
        <w:rPr>
          <w:rFonts w:ascii="Times New Roman" w:hAnsi="Times New Roman" w:eastAsia="楷体" w:cs="Times New Roman"/>
          <w:sz w:val="32"/>
          <w:szCs w:val="32"/>
          <w:highlight w:val="none"/>
        </w:rPr>
      </w:pPr>
      <w:r>
        <w:rPr>
          <w:rFonts w:hint="eastAsia" w:ascii="Times New Roman" w:hAnsi="Times New Roman" w:eastAsia="楷体" w:cs="Times New Roman"/>
          <w:sz w:val="32"/>
          <w:szCs w:val="32"/>
          <w:highlight w:val="none"/>
        </w:rPr>
        <w:t>（四）本采购文件仅适用于本次集中带量采购所述项目的医用耗材及相关服务，最终解释权归山东省医疗保障局、</w:t>
      </w:r>
      <w:r>
        <w:rPr>
          <w:rFonts w:ascii="Times New Roman" w:hAnsi="Times New Roman" w:eastAsia="楷体" w:cs="Times New Roman"/>
          <w:sz w:val="32"/>
          <w:szCs w:val="32"/>
          <w:highlight w:val="none"/>
        </w:rPr>
        <w:t>山东省公共资源交易中心</w:t>
      </w:r>
      <w:r>
        <w:rPr>
          <w:rFonts w:hint="eastAsia" w:ascii="Times New Roman" w:hAnsi="Times New Roman" w:eastAsia="楷体" w:cs="Times New Roman"/>
          <w:sz w:val="32"/>
          <w:szCs w:val="32"/>
          <w:highlight w:val="none"/>
        </w:rPr>
        <w:t>。</w:t>
      </w:r>
    </w:p>
    <w:p w14:paraId="336A7C4B">
      <w:pPr>
        <w:widowControl/>
        <w:jc w:val="left"/>
        <w:rPr>
          <w:rFonts w:ascii="Times New Roman" w:hAnsi="Times New Roman" w:eastAsia="楷体" w:cs="Times New Roman"/>
          <w:sz w:val="32"/>
          <w:szCs w:val="32"/>
          <w:highlight w:val="none"/>
        </w:rPr>
      </w:pPr>
      <w:r>
        <w:rPr>
          <w:rFonts w:ascii="Times New Roman" w:hAnsi="Times New Roman" w:eastAsia="楷体" w:cs="Times New Roman"/>
          <w:sz w:val="32"/>
          <w:szCs w:val="32"/>
          <w:highlight w:val="none"/>
        </w:rPr>
        <w:br w:type="page"/>
      </w:r>
    </w:p>
    <w:p w14:paraId="577A365B">
      <w:pPr>
        <w:pStyle w:val="3"/>
        <w:numPr>
          <w:ilvl w:val="0"/>
          <w:numId w:val="0"/>
        </w:numPr>
        <w:ind w:firstLine="640" w:firstLineChars="200"/>
        <w:outlineLvl w:val="0"/>
        <w:rPr>
          <w:rFonts w:hint="default" w:ascii="黑体" w:hAnsi="黑体" w:eastAsia="黑体" w:cs="Times New Roman"/>
          <w:sz w:val="32"/>
          <w:highlight w:val="none"/>
          <w:lang w:val="en-US" w:eastAsia="zh-CN"/>
        </w:rPr>
      </w:pPr>
      <w:bookmarkStart w:id="34" w:name="_Toc25232"/>
      <w:bookmarkStart w:id="35" w:name="_Toc86750497"/>
      <w:bookmarkStart w:id="36" w:name="_Toc87519591"/>
      <w:r>
        <w:rPr>
          <w:rFonts w:hint="eastAsia" w:ascii="黑体" w:hAnsi="黑体" w:cs="Times New Roman"/>
          <w:sz w:val="32"/>
          <w:highlight w:val="none"/>
          <w:lang w:val="en-US" w:eastAsia="zh-CN"/>
        </w:rPr>
        <w:t>十三、附件</w:t>
      </w:r>
      <w:bookmarkEnd w:id="34"/>
    </w:p>
    <w:p w14:paraId="3B089F02">
      <w:pPr>
        <w:wordWrap w:val="0"/>
        <w:spacing w:line="58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附件1：</w:t>
      </w:r>
      <w:bookmarkEnd w:id="35"/>
      <w:bookmarkEnd w:id="36"/>
      <w:r>
        <w:rPr>
          <w:rFonts w:hint="eastAsia" w:ascii="仿宋_GB2312" w:hAnsi="Times New Roman" w:eastAsia="仿宋_GB2312" w:cs="Times New Roman"/>
          <w:sz w:val="32"/>
          <w:szCs w:val="32"/>
          <w:highlight w:val="none"/>
          <w:lang w:val="en-US" w:eastAsia="zh-CN"/>
        </w:rPr>
        <w:t>医疗机构首年采购需求</w:t>
      </w:r>
      <w:r>
        <w:rPr>
          <w:rFonts w:hint="default" w:ascii="仿宋_GB2312" w:hAnsi="Times New Roman" w:eastAsia="仿宋_GB2312" w:cs="Times New Roman"/>
          <w:sz w:val="32"/>
          <w:szCs w:val="32"/>
          <w:highlight w:val="none"/>
          <w:lang w:val="en-US" w:eastAsia="zh-CN"/>
        </w:rPr>
        <w:t>量</w:t>
      </w:r>
    </w:p>
    <w:p w14:paraId="1561422C">
      <w:pPr>
        <w:wordWrap w:val="0"/>
        <w:spacing w:line="580" w:lineRule="exact"/>
        <w:ind w:firstLine="640" w:firstLineChars="200"/>
        <w:rPr>
          <w:rFonts w:hint="eastAsia" w:ascii="仿宋_GB2312" w:hAnsi="Times New Roman" w:eastAsia="仿宋_GB2312" w:cs="Times New Roman"/>
          <w:sz w:val="32"/>
          <w:szCs w:val="32"/>
          <w:highlight w:val="none"/>
        </w:rPr>
      </w:pPr>
      <w:bookmarkStart w:id="37" w:name="_Toc87519593"/>
      <w:r>
        <w:rPr>
          <w:rFonts w:hint="eastAsia" w:ascii="仿宋_GB2312" w:hAnsi="Times New Roman" w:eastAsia="仿宋_GB2312" w:cs="Times New Roman"/>
          <w:sz w:val="32"/>
          <w:szCs w:val="32"/>
          <w:highlight w:val="none"/>
        </w:rPr>
        <w:t>附件</w:t>
      </w:r>
      <w:r>
        <w:rPr>
          <w:rFonts w:hint="eastAsia" w:ascii="仿宋_GB2312" w:hAnsi="Times New Roman" w:eastAsia="仿宋_GB2312" w:cs="Times New Roman"/>
          <w:sz w:val="32"/>
          <w:szCs w:val="32"/>
          <w:highlight w:val="none"/>
          <w:lang w:val="en-US" w:eastAsia="zh-CN"/>
        </w:rPr>
        <w:t>2</w:t>
      </w:r>
      <w:r>
        <w:rPr>
          <w:rFonts w:hint="eastAsia" w:ascii="仿宋_GB2312" w:hAnsi="Times New Roman" w:eastAsia="仿宋_GB2312" w:cs="Times New Roman"/>
          <w:sz w:val="32"/>
          <w:szCs w:val="32"/>
          <w:highlight w:val="none"/>
        </w:rPr>
        <w:t>：</w:t>
      </w:r>
      <w:bookmarkEnd w:id="37"/>
      <w:r>
        <w:rPr>
          <w:rFonts w:hint="eastAsia" w:ascii="仿宋_GB2312" w:hAnsi="Times New Roman" w:eastAsia="仿宋_GB2312" w:cs="Times New Roman"/>
          <w:sz w:val="32"/>
          <w:szCs w:val="32"/>
          <w:highlight w:val="none"/>
          <w:lang w:val="en-US" w:eastAsia="zh-CN"/>
        </w:rPr>
        <w:t>山东省第四批</w:t>
      </w:r>
      <w:r>
        <w:rPr>
          <w:rFonts w:hint="eastAsia" w:ascii="仿宋_GB2312" w:hAnsi="Times New Roman" w:eastAsia="仿宋_GB2312" w:cs="Times New Roman"/>
          <w:sz w:val="32"/>
          <w:szCs w:val="32"/>
          <w:highlight w:val="none"/>
        </w:rPr>
        <w:t>医用耗</w:t>
      </w:r>
      <w:bookmarkStart w:id="38" w:name="_GoBack"/>
      <w:bookmarkEnd w:id="38"/>
      <w:r>
        <w:rPr>
          <w:rFonts w:hint="eastAsia" w:ascii="仿宋_GB2312" w:hAnsi="Times New Roman" w:eastAsia="仿宋_GB2312" w:cs="Times New Roman"/>
          <w:sz w:val="32"/>
          <w:szCs w:val="32"/>
          <w:highlight w:val="none"/>
        </w:rPr>
        <w:t>材集中带量采购申报承诺书</w:t>
      </w:r>
    </w:p>
    <w:sectPr>
      <w:pgSz w:w="11906" w:h="16838"/>
      <w:pgMar w:top="2041" w:right="1559" w:bottom="1701" w:left="1559"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F5B03">
    <w:pPr>
      <w:pStyle w:val="10"/>
      <w:jc w:val="center"/>
    </w:pPr>
  </w:p>
  <w:p w14:paraId="08D7E5B9">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09CB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857057"/>
    <w:multiLevelType w:val="multilevel"/>
    <w:tmpl w:val="0C857057"/>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3OTc5ZDQwZDA4N2FlYWMwOGU3M2M1ZjE0OTIyOWEifQ=="/>
  </w:docVars>
  <w:rsids>
    <w:rsidRoot w:val="00A01243"/>
    <w:rsid w:val="000004FA"/>
    <w:rsid w:val="00001269"/>
    <w:rsid w:val="00001635"/>
    <w:rsid w:val="00005982"/>
    <w:rsid w:val="0000661D"/>
    <w:rsid w:val="00013591"/>
    <w:rsid w:val="00013F47"/>
    <w:rsid w:val="000146AB"/>
    <w:rsid w:val="0001543E"/>
    <w:rsid w:val="000229CB"/>
    <w:rsid w:val="0002429D"/>
    <w:rsid w:val="000261D1"/>
    <w:rsid w:val="00026D56"/>
    <w:rsid w:val="00027C1C"/>
    <w:rsid w:val="00027D1E"/>
    <w:rsid w:val="0003141B"/>
    <w:rsid w:val="00032AA1"/>
    <w:rsid w:val="00033372"/>
    <w:rsid w:val="0003378D"/>
    <w:rsid w:val="00035372"/>
    <w:rsid w:val="00035FF7"/>
    <w:rsid w:val="00036478"/>
    <w:rsid w:val="0004016C"/>
    <w:rsid w:val="00040642"/>
    <w:rsid w:val="00040A3D"/>
    <w:rsid w:val="000412EB"/>
    <w:rsid w:val="00042C55"/>
    <w:rsid w:val="0004417C"/>
    <w:rsid w:val="00045237"/>
    <w:rsid w:val="00045D08"/>
    <w:rsid w:val="000461DA"/>
    <w:rsid w:val="000463CE"/>
    <w:rsid w:val="00046C20"/>
    <w:rsid w:val="000501BB"/>
    <w:rsid w:val="00050A09"/>
    <w:rsid w:val="000516C9"/>
    <w:rsid w:val="00052602"/>
    <w:rsid w:val="0005271B"/>
    <w:rsid w:val="0005385F"/>
    <w:rsid w:val="00053D55"/>
    <w:rsid w:val="00055814"/>
    <w:rsid w:val="00060345"/>
    <w:rsid w:val="00060359"/>
    <w:rsid w:val="0006255E"/>
    <w:rsid w:val="00062BDD"/>
    <w:rsid w:val="0006688C"/>
    <w:rsid w:val="000673B8"/>
    <w:rsid w:val="0007084C"/>
    <w:rsid w:val="0007117C"/>
    <w:rsid w:val="00071533"/>
    <w:rsid w:val="00072B74"/>
    <w:rsid w:val="00072EDB"/>
    <w:rsid w:val="000737C1"/>
    <w:rsid w:val="00075DCE"/>
    <w:rsid w:val="00082E28"/>
    <w:rsid w:val="00083B10"/>
    <w:rsid w:val="00091695"/>
    <w:rsid w:val="000916D6"/>
    <w:rsid w:val="00093538"/>
    <w:rsid w:val="00094EC5"/>
    <w:rsid w:val="0009597D"/>
    <w:rsid w:val="00096D96"/>
    <w:rsid w:val="000A156D"/>
    <w:rsid w:val="000A37FF"/>
    <w:rsid w:val="000A4E78"/>
    <w:rsid w:val="000A74CF"/>
    <w:rsid w:val="000B01A2"/>
    <w:rsid w:val="000B0496"/>
    <w:rsid w:val="000B0CD2"/>
    <w:rsid w:val="000B273F"/>
    <w:rsid w:val="000B28D6"/>
    <w:rsid w:val="000B2ED0"/>
    <w:rsid w:val="000C0707"/>
    <w:rsid w:val="000C1997"/>
    <w:rsid w:val="000C1D72"/>
    <w:rsid w:val="000C229E"/>
    <w:rsid w:val="000C2855"/>
    <w:rsid w:val="000C6B86"/>
    <w:rsid w:val="000C6F32"/>
    <w:rsid w:val="000C748B"/>
    <w:rsid w:val="000D2BFF"/>
    <w:rsid w:val="000D5FD0"/>
    <w:rsid w:val="000E0177"/>
    <w:rsid w:val="000E1771"/>
    <w:rsid w:val="000E1834"/>
    <w:rsid w:val="000E19F4"/>
    <w:rsid w:val="000E2227"/>
    <w:rsid w:val="000E225D"/>
    <w:rsid w:val="000E238A"/>
    <w:rsid w:val="000E713D"/>
    <w:rsid w:val="000F728E"/>
    <w:rsid w:val="001008BE"/>
    <w:rsid w:val="00100D1E"/>
    <w:rsid w:val="00101593"/>
    <w:rsid w:val="001028E6"/>
    <w:rsid w:val="00103281"/>
    <w:rsid w:val="00104051"/>
    <w:rsid w:val="0010501E"/>
    <w:rsid w:val="001073F4"/>
    <w:rsid w:val="00107D0D"/>
    <w:rsid w:val="001130F5"/>
    <w:rsid w:val="0011339C"/>
    <w:rsid w:val="00114306"/>
    <w:rsid w:val="00114AA4"/>
    <w:rsid w:val="00114C19"/>
    <w:rsid w:val="001158AA"/>
    <w:rsid w:val="00117A55"/>
    <w:rsid w:val="00120368"/>
    <w:rsid w:val="001216EF"/>
    <w:rsid w:val="0012354A"/>
    <w:rsid w:val="00123BC4"/>
    <w:rsid w:val="00125A44"/>
    <w:rsid w:val="00131FBC"/>
    <w:rsid w:val="00131FFA"/>
    <w:rsid w:val="00134DC1"/>
    <w:rsid w:val="0013505C"/>
    <w:rsid w:val="00140EFA"/>
    <w:rsid w:val="001431F0"/>
    <w:rsid w:val="0014360B"/>
    <w:rsid w:val="00144D84"/>
    <w:rsid w:val="00145CC4"/>
    <w:rsid w:val="00147583"/>
    <w:rsid w:val="00151C77"/>
    <w:rsid w:val="00157680"/>
    <w:rsid w:val="00157DFC"/>
    <w:rsid w:val="0016433E"/>
    <w:rsid w:val="00170539"/>
    <w:rsid w:val="00177CC5"/>
    <w:rsid w:val="00177F23"/>
    <w:rsid w:val="00180859"/>
    <w:rsid w:val="001818E5"/>
    <w:rsid w:val="00182096"/>
    <w:rsid w:val="00182733"/>
    <w:rsid w:val="001833E3"/>
    <w:rsid w:val="00183655"/>
    <w:rsid w:val="00192058"/>
    <w:rsid w:val="00194212"/>
    <w:rsid w:val="001A0B79"/>
    <w:rsid w:val="001A1003"/>
    <w:rsid w:val="001A2792"/>
    <w:rsid w:val="001A2F5E"/>
    <w:rsid w:val="001A5303"/>
    <w:rsid w:val="001A5ACE"/>
    <w:rsid w:val="001A74B0"/>
    <w:rsid w:val="001B1FCD"/>
    <w:rsid w:val="001B4691"/>
    <w:rsid w:val="001B5858"/>
    <w:rsid w:val="001B5A5C"/>
    <w:rsid w:val="001C0341"/>
    <w:rsid w:val="001C1948"/>
    <w:rsid w:val="001C3480"/>
    <w:rsid w:val="001C5A6F"/>
    <w:rsid w:val="001C6F9D"/>
    <w:rsid w:val="001D077E"/>
    <w:rsid w:val="001D1A8C"/>
    <w:rsid w:val="001D3179"/>
    <w:rsid w:val="001D43CF"/>
    <w:rsid w:val="001D4E6E"/>
    <w:rsid w:val="001D7D24"/>
    <w:rsid w:val="001E32ED"/>
    <w:rsid w:val="001E3C32"/>
    <w:rsid w:val="001E4350"/>
    <w:rsid w:val="001E5C31"/>
    <w:rsid w:val="001F04B2"/>
    <w:rsid w:val="001F1A06"/>
    <w:rsid w:val="001F2637"/>
    <w:rsid w:val="001F2ED3"/>
    <w:rsid w:val="001F3BF5"/>
    <w:rsid w:val="001F6509"/>
    <w:rsid w:val="001F7B7E"/>
    <w:rsid w:val="00202233"/>
    <w:rsid w:val="00205991"/>
    <w:rsid w:val="002063EF"/>
    <w:rsid w:val="00207758"/>
    <w:rsid w:val="00213349"/>
    <w:rsid w:val="00213653"/>
    <w:rsid w:val="002179CF"/>
    <w:rsid w:val="00221A6E"/>
    <w:rsid w:val="0022270D"/>
    <w:rsid w:val="002264CA"/>
    <w:rsid w:val="00233192"/>
    <w:rsid w:val="00236B6B"/>
    <w:rsid w:val="00246D60"/>
    <w:rsid w:val="002473B9"/>
    <w:rsid w:val="00251467"/>
    <w:rsid w:val="00253053"/>
    <w:rsid w:val="0025625A"/>
    <w:rsid w:val="00262970"/>
    <w:rsid w:val="00262BD3"/>
    <w:rsid w:val="002671FD"/>
    <w:rsid w:val="0027080A"/>
    <w:rsid w:val="002734AC"/>
    <w:rsid w:val="00274FAA"/>
    <w:rsid w:val="002767F8"/>
    <w:rsid w:val="002802EC"/>
    <w:rsid w:val="002826E7"/>
    <w:rsid w:val="00284712"/>
    <w:rsid w:val="002867FF"/>
    <w:rsid w:val="00286F71"/>
    <w:rsid w:val="002873F7"/>
    <w:rsid w:val="00290D4A"/>
    <w:rsid w:val="0029324B"/>
    <w:rsid w:val="00294D4B"/>
    <w:rsid w:val="00297F90"/>
    <w:rsid w:val="002A09FB"/>
    <w:rsid w:val="002A0C5C"/>
    <w:rsid w:val="002A32AB"/>
    <w:rsid w:val="002A33EF"/>
    <w:rsid w:val="002A52E0"/>
    <w:rsid w:val="002A63B2"/>
    <w:rsid w:val="002A6793"/>
    <w:rsid w:val="002A6EB4"/>
    <w:rsid w:val="002B3366"/>
    <w:rsid w:val="002B6D43"/>
    <w:rsid w:val="002C0091"/>
    <w:rsid w:val="002C11F5"/>
    <w:rsid w:val="002C18FB"/>
    <w:rsid w:val="002C1DCA"/>
    <w:rsid w:val="002C2845"/>
    <w:rsid w:val="002C3FCD"/>
    <w:rsid w:val="002C4F60"/>
    <w:rsid w:val="002C6A5C"/>
    <w:rsid w:val="002D0D45"/>
    <w:rsid w:val="002D32B6"/>
    <w:rsid w:val="002D481B"/>
    <w:rsid w:val="002E114C"/>
    <w:rsid w:val="002E1836"/>
    <w:rsid w:val="002E1F04"/>
    <w:rsid w:val="002E35FA"/>
    <w:rsid w:val="002E4B92"/>
    <w:rsid w:val="002E7B68"/>
    <w:rsid w:val="002F0E65"/>
    <w:rsid w:val="002F0F9F"/>
    <w:rsid w:val="002F1150"/>
    <w:rsid w:val="002F2DAD"/>
    <w:rsid w:val="002F3DC2"/>
    <w:rsid w:val="002F570E"/>
    <w:rsid w:val="002F6E11"/>
    <w:rsid w:val="002F720D"/>
    <w:rsid w:val="002F74FC"/>
    <w:rsid w:val="002F74FF"/>
    <w:rsid w:val="002F7D9F"/>
    <w:rsid w:val="00302214"/>
    <w:rsid w:val="003077AC"/>
    <w:rsid w:val="003077F6"/>
    <w:rsid w:val="003145BB"/>
    <w:rsid w:val="00322158"/>
    <w:rsid w:val="003236E5"/>
    <w:rsid w:val="00326C5B"/>
    <w:rsid w:val="00332C89"/>
    <w:rsid w:val="00336000"/>
    <w:rsid w:val="003367AB"/>
    <w:rsid w:val="00337346"/>
    <w:rsid w:val="00340235"/>
    <w:rsid w:val="003422F2"/>
    <w:rsid w:val="00344144"/>
    <w:rsid w:val="00350DBF"/>
    <w:rsid w:val="00351513"/>
    <w:rsid w:val="00352637"/>
    <w:rsid w:val="00352A93"/>
    <w:rsid w:val="0035358F"/>
    <w:rsid w:val="003537AB"/>
    <w:rsid w:val="00355DE4"/>
    <w:rsid w:val="0035716E"/>
    <w:rsid w:val="00360F9A"/>
    <w:rsid w:val="0036245B"/>
    <w:rsid w:val="00362AD1"/>
    <w:rsid w:val="003633AD"/>
    <w:rsid w:val="003633D5"/>
    <w:rsid w:val="00364C22"/>
    <w:rsid w:val="00365F9A"/>
    <w:rsid w:val="00366C51"/>
    <w:rsid w:val="0037034E"/>
    <w:rsid w:val="00370B5A"/>
    <w:rsid w:val="00371C32"/>
    <w:rsid w:val="003738A8"/>
    <w:rsid w:val="00384D08"/>
    <w:rsid w:val="003854D1"/>
    <w:rsid w:val="00386E11"/>
    <w:rsid w:val="00387821"/>
    <w:rsid w:val="00391C3E"/>
    <w:rsid w:val="00392315"/>
    <w:rsid w:val="00396924"/>
    <w:rsid w:val="003A0ED3"/>
    <w:rsid w:val="003A15C7"/>
    <w:rsid w:val="003A49E6"/>
    <w:rsid w:val="003A569F"/>
    <w:rsid w:val="003A5AFF"/>
    <w:rsid w:val="003A6EB2"/>
    <w:rsid w:val="003A7B97"/>
    <w:rsid w:val="003A7CFC"/>
    <w:rsid w:val="003B07D7"/>
    <w:rsid w:val="003B0857"/>
    <w:rsid w:val="003B52A1"/>
    <w:rsid w:val="003B6048"/>
    <w:rsid w:val="003B74DC"/>
    <w:rsid w:val="003C085B"/>
    <w:rsid w:val="003C2146"/>
    <w:rsid w:val="003C2E24"/>
    <w:rsid w:val="003D1F3C"/>
    <w:rsid w:val="003D2020"/>
    <w:rsid w:val="003D29AC"/>
    <w:rsid w:val="003D2B79"/>
    <w:rsid w:val="003D2BFD"/>
    <w:rsid w:val="003D2E7C"/>
    <w:rsid w:val="003D6C4C"/>
    <w:rsid w:val="003E1984"/>
    <w:rsid w:val="003E2CEB"/>
    <w:rsid w:val="003E65F1"/>
    <w:rsid w:val="003F3020"/>
    <w:rsid w:val="003F33AF"/>
    <w:rsid w:val="003F434B"/>
    <w:rsid w:val="003F70AD"/>
    <w:rsid w:val="0040149B"/>
    <w:rsid w:val="00401B11"/>
    <w:rsid w:val="00404694"/>
    <w:rsid w:val="00404862"/>
    <w:rsid w:val="00406697"/>
    <w:rsid w:val="0040757F"/>
    <w:rsid w:val="004127FE"/>
    <w:rsid w:val="00412B02"/>
    <w:rsid w:val="00415907"/>
    <w:rsid w:val="00415C5C"/>
    <w:rsid w:val="00416002"/>
    <w:rsid w:val="004209F6"/>
    <w:rsid w:val="00421408"/>
    <w:rsid w:val="004237B4"/>
    <w:rsid w:val="00423840"/>
    <w:rsid w:val="004242B1"/>
    <w:rsid w:val="00425621"/>
    <w:rsid w:val="004262C2"/>
    <w:rsid w:val="00431E89"/>
    <w:rsid w:val="00431F5A"/>
    <w:rsid w:val="004320A9"/>
    <w:rsid w:val="00434843"/>
    <w:rsid w:val="00434BDA"/>
    <w:rsid w:val="00435B08"/>
    <w:rsid w:val="00435B2E"/>
    <w:rsid w:val="00436735"/>
    <w:rsid w:val="00437D8F"/>
    <w:rsid w:val="00440DB6"/>
    <w:rsid w:val="0044463D"/>
    <w:rsid w:val="004451E9"/>
    <w:rsid w:val="00447536"/>
    <w:rsid w:val="004507C0"/>
    <w:rsid w:val="00450F0F"/>
    <w:rsid w:val="00451400"/>
    <w:rsid w:val="00451D06"/>
    <w:rsid w:val="00452302"/>
    <w:rsid w:val="004528DA"/>
    <w:rsid w:val="00452D69"/>
    <w:rsid w:val="00453937"/>
    <w:rsid w:val="0045475D"/>
    <w:rsid w:val="00454902"/>
    <w:rsid w:val="00457330"/>
    <w:rsid w:val="00457D1E"/>
    <w:rsid w:val="0046134F"/>
    <w:rsid w:val="00463E3A"/>
    <w:rsid w:val="004703C5"/>
    <w:rsid w:val="00471081"/>
    <w:rsid w:val="00473893"/>
    <w:rsid w:val="00474101"/>
    <w:rsid w:val="0047442B"/>
    <w:rsid w:val="00476F1C"/>
    <w:rsid w:val="004870A6"/>
    <w:rsid w:val="00491224"/>
    <w:rsid w:val="00491552"/>
    <w:rsid w:val="00495CDC"/>
    <w:rsid w:val="004A0FC9"/>
    <w:rsid w:val="004A3439"/>
    <w:rsid w:val="004A44DD"/>
    <w:rsid w:val="004A5EA5"/>
    <w:rsid w:val="004A7856"/>
    <w:rsid w:val="004A7C6F"/>
    <w:rsid w:val="004B10B8"/>
    <w:rsid w:val="004B5BBA"/>
    <w:rsid w:val="004B6578"/>
    <w:rsid w:val="004C132E"/>
    <w:rsid w:val="004C22F3"/>
    <w:rsid w:val="004C2C5D"/>
    <w:rsid w:val="004D01B9"/>
    <w:rsid w:val="004D3B47"/>
    <w:rsid w:val="004D411F"/>
    <w:rsid w:val="004D592B"/>
    <w:rsid w:val="004D6FD0"/>
    <w:rsid w:val="004E255A"/>
    <w:rsid w:val="004E2A4E"/>
    <w:rsid w:val="004E72F2"/>
    <w:rsid w:val="004E75E7"/>
    <w:rsid w:val="004E7866"/>
    <w:rsid w:val="004E7DE8"/>
    <w:rsid w:val="004F0E0C"/>
    <w:rsid w:val="004F2979"/>
    <w:rsid w:val="004F3225"/>
    <w:rsid w:val="004F42F3"/>
    <w:rsid w:val="004F656D"/>
    <w:rsid w:val="004F768F"/>
    <w:rsid w:val="00504C96"/>
    <w:rsid w:val="00504D95"/>
    <w:rsid w:val="00505B40"/>
    <w:rsid w:val="00511DD4"/>
    <w:rsid w:val="005136A9"/>
    <w:rsid w:val="00514A8C"/>
    <w:rsid w:val="00522E26"/>
    <w:rsid w:val="0052328B"/>
    <w:rsid w:val="0052501E"/>
    <w:rsid w:val="005277C7"/>
    <w:rsid w:val="00532D1C"/>
    <w:rsid w:val="00533099"/>
    <w:rsid w:val="005341FA"/>
    <w:rsid w:val="00535BDF"/>
    <w:rsid w:val="0053620F"/>
    <w:rsid w:val="00536923"/>
    <w:rsid w:val="00537950"/>
    <w:rsid w:val="005410A0"/>
    <w:rsid w:val="0054258C"/>
    <w:rsid w:val="005442DA"/>
    <w:rsid w:val="0054483F"/>
    <w:rsid w:val="00544FCD"/>
    <w:rsid w:val="005458DB"/>
    <w:rsid w:val="00545CC6"/>
    <w:rsid w:val="00550216"/>
    <w:rsid w:val="005526A6"/>
    <w:rsid w:val="00552A4B"/>
    <w:rsid w:val="00552AE3"/>
    <w:rsid w:val="005567E3"/>
    <w:rsid w:val="00557975"/>
    <w:rsid w:val="00561890"/>
    <w:rsid w:val="0056215D"/>
    <w:rsid w:val="00564206"/>
    <w:rsid w:val="0056435B"/>
    <w:rsid w:val="0056486C"/>
    <w:rsid w:val="005665D6"/>
    <w:rsid w:val="00570136"/>
    <w:rsid w:val="00571CE2"/>
    <w:rsid w:val="00574455"/>
    <w:rsid w:val="00574873"/>
    <w:rsid w:val="0058332F"/>
    <w:rsid w:val="0058618C"/>
    <w:rsid w:val="0058660A"/>
    <w:rsid w:val="00587A98"/>
    <w:rsid w:val="005912BE"/>
    <w:rsid w:val="00595921"/>
    <w:rsid w:val="00596B6A"/>
    <w:rsid w:val="00596EFA"/>
    <w:rsid w:val="00597B44"/>
    <w:rsid w:val="005A096D"/>
    <w:rsid w:val="005A2AFA"/>
    <w:rsid w:val="005A49DC"/>
    <w:rsid w:val="005A588C"/>
    <w:rsid w:val="005B1618"/>
    <w:rsid w:val="005B18D0"/>
    <w:rsid w:val="005B3626"/>
    <w:rsid w:val="005B56C2"/>
    <w:rsid w:val="005B5D20"/>
    <w:rsid w:val="005B61E8"/>
    <w:rsid w:val="005B61F2"/>
    <w:rsid w:val="005B6582"/>
    <w:rsid w:val="005C2EF7"/>
    <w:rsid w:val="005C342F"/>
    <w:rsid w:val="005C3BEF"/>
    <w:rsid w:val="005C4FBB"/>
    <w:rsid w:val="005C500D"/>
    <w:rsid w:val="005C5B63"/>
    <w:rsid w:val="005D0AD4"/>
    <w:rsid w:val="005D2111"/>
    <w:rsid w:val="005D34D4"/>
    <w:rsid w:val="005D3D9F"/>
    <w:rsid w:val="005D45C7"/>
    <w:rsid w:val="005D4C92"/>
    <w:rsid w:val="005E01D3"/>
    <w:rsid w:val="005E19D0"/>
    <w:rsid w:val="005E1C72"/>
    <w:rsid w:val="005E2752"/>
    <w:rsid w:val="005E33FA"/>
    <w:rsid w:val="005E3801"/>
    <w:rsid w:val="005E472C"/>
    <w:rsid w:val="005E516D"/>
    <w:rsid w:val="005F2820"/>
    <w:rsid w:val="005F2CF9"/>
    <w:rsid w:val="005F3419"/>
    <w:rsid w:val="005F3E43"/>
    <w:rsid w:val="005F5800"/>
    <w:rsid w:val="00602A22"/>
    <w:rsid w:val="006030B2"/>
    <w:rsid w:val="00604DEE"/>
    <w:rsid w:val="00607A03"/>
    <w:rsid w:val="006123B7"/>
    <w:rsid w:val="00612BA8"/>
    <w:rsid w:val="00613783"/>
    <w:rsid w:val="006148BA"/>
    <w:rsid w:val="00620EE5"/>
    <w:rsid w:val="00622050"/>
    <w:rsid w:val="0062260F"/>
    <w:rsid w:val="006229B7"/>
    <w:rsid w:val="00623D54"/>
    <w:rsid w:val="00623ED3"/>
    <w:rsid w:val="00624019"/>
    <w:rsid w:val="00625962"/>
    <w:rsid w:val="00626541"/>
    <w:rsid w:val="00627497"/>
    <w:rsid w:val="00636B65"/>
    <w:rsid w:val="00636BCD"/>
    <w:rsid w:val="00637B19"/>
    <w:rsid w:val="00637E5C"/>
    <w:rsid w:val="00640ED5"/>
    <w:rsid w:val="00650CC6"/>
    <w:rsid w:val="00653693"/>
    <w:rsid w:val="0065469D"/>
    <w:rsid w:val="0065510F"/>
    <w:rsid w:val="00655F91"/>
    <w:rsid w:val="00656609"/>
    <w:rsid w:val="006571D3"/>
    <w:rsid w:val="006651DE"/>
    <w:rsid w:val="00676635"/>
    <w:rsid w:val="00683516"/>
    <w:rsid w:val="00686461"/>
    <w:rsid w:val="006903B1"/>
    <w:rsid w:val="006903E8"/>
    <w:rsid w:val="00690C47"/>
    <w:rsid w:val="00691C6D"/>
    <w:rsid w:val="006939C1"/>
    <w:rsid w:val="006939D5"/>
    <w:rsid w:val="00694557"/>
    <w:rsid w:val="006A1448"/>
    <w:rsid w:val="006A2BE7"/>
    <w:rsid w:val="006B0CAA"/>
    <w:rsid w:val="006B1C31"/>
    <w:rsid w:val="006B5C4C"/>
    <w:rsid w:val="006B7791"/>
    <w:rsid w:val="006C51DC"/>
    <w:rsid w:val="006C57CB"/>
    <w:rsid w:val="006C651D"/>
    <w:rsid w:val="006D0AD1"/>
    <w:rsid w:val="006D1F0A"/>
    <w:rsid w:val="006D3B8A"/>
    <w:rsid w:val="006D4382"/>
    <w:rsid w:val="006D6288"/>
    <w:rsid w:val="006D75C9"/>
    <w:rsid w:val="006E0AD4"/>
    <w:rsid w:val="006E3955"/>
    <w:rsid w:val="006E74C7"/>
    <w:rsid w:val="006F1F87"/>
    <w:rsid w:val="006F255A"/>
    <w:rsid w:val="006F6D83"/>
    <w:rsid w:val="006F7FAD"/>
    <w:rsid w:val="0070425B"/>
    <w:rsid w:val="007070B3"/>
    <w:rsid w:val="00707909"/>
    <w:rsid w:val="00707B48"/>
    <w:rsid w:val="00707CC6"/>
    <w:rsid w:val="007104AD"/>
    <w:rsid w:val="00710B72"/>
    <w:rsid w:val="00711165"/>
    <w:rsid w:val="00711C15"/>
    <w:rsid w:val="007120DE"/>
    <w:rsid w:val="007142AF"/>
    <w:rsid w:val="00716673"/>
    <w:rsid w:val="007168F2"/>
    <w:rsid w:val="00723AD8"/>
    <w:rsid w:val="00724978"/>
    <w:rsid w:val="007258FE"/>
    <w:rsid w:val="00730BA2"/>
    <w:rsid w:val="0073161C"/>
    <w:rsid w:val="00733906"/>
    <w:rsid w:val="007339DA"/>
    <w:rsid w:val="00735977"/>
    <w:rsid w:val="00736ED1"/>
    <w:rsid w:val="00741FBF"/>
    <w:rsid w:val="00743122"/>
    <w:rsid w:val="00744520"/>
    <w:rsid w:val="00745535"/>
    <w:rsid w:val="00745A95"/>
    <w:rsid w:val="00747E25"/>
    <w:rsid w:val="00752169"/>
    <w:rsid w:val="00752F7D"/>
    <w:rsid w:val="00755D2D"/>
    <w:rsid w:val="00756D62"/>
    <w:rsid w:val="00757E93"/>
    <w:rsid w:val="007635BA"/>
    <w:rsid w:val="00763B41"/>
    <w:rsid w:val="00764319"/>
    <w:rsid w:val="00765E16"/>
    <w:rsid w:val="007669FD"/>
    <w:rsid w:val="0077199F"/>
    <w:rsid w:val="00772A31"/>
    <w:rsid w:val="00772A84"/>
    <w:rsid w:val="00775D85"/>
    <w:rsid w:val="00777D61"/>
    <w:rsid w:val="00781B5D"/>
    <w:rsid w:val="00781E95"/>
    <w:rsid w:val="007829D2"/>
    <w:rsid w:val="00783251"/>
    <w:rsid w:val="00784E79"/>
    <w:rsid w:val="007857BE"/>
    <w:rsid w:val="0078716C"/>
    <w:rsid w:val="00787939"/>
    <w:rsid w:val="007879E9"/>
    <w:rsid w:val="0079250C"/>
    <w:rsid w:val="00793CE4"/>
    <w:rsid w:val="00794702"/>
    <w:rsid w:val="00795E80"/>
    <w:rsid w:val="007A308D"/>
    <w:rsid w:val="007A46B5"/>
    <w:rsid w:val="007A73D3"/>
    <w:rsid w:val="007A7646"/>
    <w:rsid w:val="007A7660"/>
    <w:rsid w:val="007B2140"/>
    <w:rsid w:val="007B282D"/>
    <w:rsid w:val="007B2858"/>
    <w:rsid w:val="007B2D24"/>
    <w:rsid w:val="007B3611"/>
    <w:rsid w:val="007B77F7"/>
    <w:rsid w:val="007C0402"/>
    <w:rsid w:val="007C28D1"/>
    <w:rsid w:val="007C5491"/>
    <w:rsid w:val="007D19A1"/>
    <w:rsid w:val="007D4343"/>
    <w:rsid w:val="007D4C1D"/>
    <w:rsid w:val="007D5786"/>
    <w:rsid w:val="007D6AC3"/>
    <w:rsid w:val="007D7202"/>
    <w:rsid w:val="007E3294"/>
    <w:rsid w:val="007E3F8D"/>
    <w:rsid w:val="007E4C60"/>
    <w:rsid w:val="007E63A3"/>
    <w:rsid w:val="007E7476"/>
    <w:rsid w:val="007E749F"/>
    <w:rsid w:val="007E75F5"/>
    <w:rsid w:val="007F01C5"/>
    <w:rsid w:val="007F03D7"/>
    <w:rsid w:val="007F156C"/>
    <w:rsid w:val="007F4C8B"/>
    <w:rsid w:val="007F6940"/>
    <w:rsid w:val="007F7A54"/>
    <w:rsid w:val="008018ED"/>
    <w:rsid w:val="0080308E"/>
    <w:rsid w:val="008033AE"/>
    <w:rsid w:val="008040AD"/>
    <w:rsid w:val="008046FE"/>
    <w:rsid w:val="0080659C"/>
    <w:rsid w:val="008069C7"/>
    <w:rsid w:val="00806B5F"/>
    <w:rsid w:val="00807C63"/>
    <w:rsid w:val="00814CFF"/>
    <w:rsid w:val="008150A0"/>
    <w:rsid w:val="00815E0B"/>
    <w:rsid w:val="00823496"/>
    <w:rsid w:val="00826313"/>
    <w:rsid w:val="00827FF2"/>
    <w:rsid w:val="00830326"/>
    <w:rsid w:val="008303EF"/>
    <w:rsid w:val="00830C5C"/>
    <w:rsid w:val="00832CBB"/>
    <w:rsid w:val="00836068"/>
    <w:rsid w:val="008417D2"/>
    <w:rsid w:val="00842243"/>
    <w:rsid w:val="00842F23"/>
    <w:rsid w:val="008448D5"/>
    <w:rsid w:val="00845276"/>
    <w:rsid w:val="00845FC5"/>
    <w:rsid w:val="00850525"/>
    <w:rsid w:val="00852847"/>
    <w:rsid w:val="00854C4A"/>
    <w:rsid w:val="00855BB0"/>
    <w:rsid w:val="008626AF"/>
    <w:rsid w:val="00864CA9"/>
    <w:rsid w:val="00864D94"/>
    <w:rsid w:val="008677D0"/>
    <w:rsid w:val="00874CF5"/>
    <w:rsid w:val="00876832"/>
    <w:rsid w:val="00880FDD"/>
    <w:rsid w:val="008844DB"/>
    <w:rsid w:val="008848DB"/>
    <w:rsid w:val="0088732B"/>
    <w:rsid w:val="00891840"/>
    <w:rsid w:val="00891F4D"/>
    <w:rsid w:val="00891FE4"/>
    <w:rsid w:val="00892624"/>
    <w:rsid w:val="008942AD"/>
    <w:rsid w:val="00894445"/>
    <w:rsid w:val="008955F3"/>
    <w:rsid w:val="0089646F"/>
    <w:rsid w:val="008A042B"/>
    <w:rsid w:val="008A1766"/>
    <w:rsid w:val="008A1CCC"/>
    <w:rsid w:val="008A2158"/>
    <w:rsid w:val="008A223B"/>
    <w:rsid w:val="008B0865"/>
    <w:rsid w:val="008B0FD4"/>
    <w:rsid w:val="008B2852"/>
    <w:rsid w:val="008B2EDE"/>
    <w:rsid w:val="008B33D9"/>
    <w:rsid w:val="008B400F"/>
    <w:rsid w:val="008B4643"/>
    <w:rsid w:val="008B5B23"/>
    <w:rsid w:val="008B6534"/>
    <w:rsid w:val="008C076C"/>
    <w:rsid w:val="008C0E3B"/>
    <w:rsid w:val="008C2EB2"/>
    <w:rsid w:val="008C38D1"/>
    <w:rsid w:val="008C3BCD"/>
    <w:rsid w:val="008C656D"/>
    <w:rsid w:val="008C7306"/>
    <w:rsid w:val="008D40DC"/>
    <w:rsid w:val="008D7E06"/>
    <w:rsid w:val="008E116C"/>
    <w:rsid w:val="008E23ED"/>
    <w:rsid w:val="008E4785"/>
    <w:rsid w:val="008E5D6A"/>
    <w:rsid w:val="008E6F41"/>
    <w:rsid w:val="008F3A38"/>
    <w:rsid w:val="008F5834"/>
    <w:rsid w:val="008F66ED"/>
    <w:rsid w:val="008F72B7"/>
    <w:rsid w:val="00906B02"/>
    <w:rsid w:val="0090724F"/>
    <w:rsid w:val="00907A5B"/>
    <w:rsid w:val="009116E5"/>
    <w:rsid w:val="009128D6"/>
    <w:rsid w:val="0091317F"/>
    <w:rsid w:val="00913F40"/>
    <w:rsid w:val="00914595"/>
    <w:rsid w:val="00920B91"/>
    <w:rsid w:val="00921415"/>
    <w:rsid w:val="00922025"/>
    <w:rsid w:val="00922126"/>
    <w:rsid w:val="00924522"/>
    <w:rsid w:val="00925468"/>
    <w:rsid w:val="00927C34"/>
    <w:rsid w:val="00930601"/>
    <w:rsid w:val="00933D22"/>
    <w:rsid w:val="00935B5A"/>
    <w:rsid w:val="009365EE"/>
    <w:rsid w:val="009419C7"/>
    <w:rsid w:val="00941EBA"/>
    <w:rsid w:val="00943562"/>
    <w:rsid w:val="00944CF2"/>
    <w:rsid w:val="00944DF0"/>
    <w:rsid w:val="0094679D"/>
    <w:rsid w:val="009467D1"/>
    <w:rsid w:val="0094763F"/>
    <w:rsid w:val="00952233"/>
    <w:rsid w:val="00952F9C"/>
    <w:rsid w:val="00953024"/>
    <w:rsid w:val="00953622"/>
    <w:rsid w:val="00956CA6"/>
    <w:rsid w:val="009602BE"/>
    <w:rsid w:val="00961727"/>
    <w:rsid w:val="009625F6"/>
    <w:rsid w:val="00962FFE"/>
    <w:rsid w:val="009646C7"/>
    <w:rsid w:val="00964C76"/>
    <w:rsid w:val="00971603"/>
    <w:rsid w:val="00973303"/>
    <w:rsid w:val="009741A3"/>
    <w:rsid w:val="00974BCC"/>
    <w:rsid w:val="00974E08"/>
    <w:rsid w:val="00975523"/>
    <w:rsid w:val="0097595F"/>
    <w:rsid w:val="009764E6"/>
    <w:rsid w:val="009806DC"/>
    <w:rsid w:val="00980BAE"/>
    <w:rsid w:val="00980FE4"/>
    <w:rsid w:val="009813F7"/>
    <w:rsid w:val="00981BDE"/>
    <w:rsid w:val="00985182"/>
    <w:rsid w:val="0098719E"/>
    <w:rsid w:val="00987363"/>
    <w:rsid w:val="009907B7"/>
    <w:rsid w:val="0099162D"/>
    <w:rsid w:val="009A007D"/>
    <w:rsid w:val="009A04A2"/>
    <w:rsid w:val="009A1856"/>
    <w:rsid w:val="009A19C8"/>
    <w:rsid w:val="009A4844"/>
    <w:rsid w:val="009A54C6"/>
    <w:rsid w:val="009A56E0"/>
    <w:rsid w:val="009A7716"/>
    <w:rsid w:val="009B28A8"/>
    <w:rsid w:val="009B2C3E"/>
    <w:rsid w:val="009B2FED"/>
    <w:rsid w:val="009B4D55"/>
    <w:rsid w:val="009B5FE4"/>
    <w:rsid w:val="009B7154"/>
    <w:rsid w:val="009B7CB9"/>
    <w:rsid w:val="009C03B6"/>
    <w:rsid w:val="009C0638"/>
    <w:rsid w:val="009C5488"/>
    <w:rsid w:val="009D13D6"/>
    <w:rsid w:val="009D173C"/>
    <w:rsid w:val="009D1F77"/>
    <w:rsid w:val="009D4871"/>
    <w:rsid w:val="009D649E"/>
    <w:rsid w:val="009D6B02"/>
    <w:rsid w:val="009E0E92"/>
    <w:rsid w:val="009E1718"/>
    <w:rsid w:val="009E3AE4"/>
    <w:rsid w:val="009E584C"/>
    <w:rsid w:val="009F7729"/>
    <w:rsid w:val="009F79B8"/>
    <w:rsid w:val="009F7A53"/>
    <w:rsid w:val="00A001ED"/>
    <w:rsid w:val="00A01243"/>
    <w:rsid w:val="00A020F5"/>
    <w:rsid w:val="00A03478"/>
    <w:rsid w:val="00A040A0"/>
    <w:rsid w:val="00A07C88"/>
    <w:rsid w:val="00A11425"/>
    <w:rsid w:val="00A11BB5"/>
    <w:rsid w:val="00A13CFC"/>
    <w:rsid w:val="00A147F8"/>
    <w:rsid w:val="00A20030"/>
    <w:rsid w:val="00A22ED2"/>
    <w:rsid w:val="00A2333F"/>
    <w:rsid w:val="00A2567E"/>
    <w:rsid w:val="00A2748A"/>
    <w:rsid w:val="00A275C5"/>
    <w:rsid w:val="00A30B38"/>
    <w:rsid w:val="00A31B66"/>
    <w:rsid w:val="00A3246A"/>
    <w:rsid w:val="00A330F9"/>
    <w:rsid w:val="00A360C9"/>
    <w:rsid w:val="00A3643F"/>
    <w:rsid w:val="00A37FA8"/>
    <w:rsid w:val="00A40FD7"/>
    <w:rsid w:val="00A44484"/>
    <w:rsid w:val="00A45243"/>
    <w:rsid w:val="00A45C45"/>
    <w:rsid w:val="00A47A52"/>
    <w:rsid w:val="00A5683E"/>
    <w:rsid w:val="00A56872"/>
    <w:rsid w:val="00A61B67"/>
    <w:rsid w:val="00A621A9"/>
    <w:rsid w:val="00A625E5"/>
    <w:rsid w:val="00A6341E"/>
    <w:rsid w:val="00A660EA"/>
    <w:rsid w:val="00A6642C"/>
    <w:rsid w:val="00A71A8D"/>
    <w:rsid w:val="00A71DBE"/>
    <w:rsid w:val="00A725C0"/>
    <w:rsid w:val="00A81C6F"/>
    <w:rsid w:val="00A820CF"/>
    <w:rsid w:val="00A82D65"/>
    <w:rsid w:val="00A82E5C"/>
    <w:rsid w:val="00A84937"/>
    <w:rsid w:val="00A909EA"/>
    <w:rsid w:val="00A90A84"/>
    <w:rsid w:val="00A90BB7"/>
    <w:rsid w:val="00A90DA2"/>
    <w:rsid w:val="00A92109"/>
    <w:rsid w:val="00A925B3"/>
    <w:rsid w:val="00A925E1"/>
    <w:rsid w:val="00A955DC"/>
    <w:rsid w:val="00A97E01"/>
    <w:rsid w:val="00AA102C"/>
    <w:rsid w:val="00AA2E4F"/>
    <w:rsid w:val="00AA59C5"/>
    <w:rsid w:val="00AB0DC3"/>
    <w:rsid w:val="00AB15F8"/>
    <w:rsid w:val="00AB20F4"/>
    <w:rsid w:val="00AB5741"/>
    <w:rsid w:val="00AC08F3"/>
    <w:rsid w:val="00AC230A"/>
    <w:rsid w:val="00AC4095"/>
    <w:rsid w:val="00AC6573"/>
    <w:rsid w:val="00AC7C44"/>
    <w:rsid w:val="00AD09C5"/>
    <w:rsid w:val="00AD0DB5"/>
    <w:rsid w:val="00AD0E4F"/>
    <w:rsid w:val="00AD1254"/>
    <w:rsid w:val="00AD4B0A"/>
    <w:rsid w:val="00AD79E3"/>
    <w:rsid w:val="00AE0306"/>
    <w:rsid w:val="00AE0A72"/>
    <w:rsid w:val="00AE74B9"/>
    <w:rsid w:val="00AF0FC3"/>
    <w:rsid w:val="00AF3958"/>
    <w:rsid w:val="00AF4C66"/>
    <w:rsid w:val="00AF6417"/>
    <w:rsid w:val="00B00585"/>
    <w:rsid w:val="00B04EF6"/>
    <w:rsid w:val="00B053AC"/>
    <w:rsid w:val="00B10549"/>
    <w:rsid w:val="00B1473F"/>
    <w:rsid w:val="00B166CE"/>
    <w:rsid w:val="00B169C9"/>
    <w:rsid w:val="00B20F5E"/>
    <w:rsid w:val="00B21190"/>
    <w:rsid w:val="00B253FB"/>
    <w:rsid w:val="00B30144"/>
    <w:rsid w:val="00B3226F"/>
    <w:rsid w:val="00B403F0"/>
    <w:rsid w:val="00B40F4B"/>
    <w:rsid w:val="00B42CE5"/>
    <w:rsid w:val="00B432C3"/>
    <w:rsid w:val="00B464E7"/>
    <w:rsid w:val="00B533E1"/>
    <w:rsid w:val="00B556BC"/>
    <w:rsid w:val="00B57F97"/>
    <w:rsid w:val="00B61D3B"/>
    <w:rsid w:val="00B63977"/>
    <w:rsid w:val="00B64DA0"/>
    <w:rsid w:val="00B64F5A"/>
    <w:rsid w:val="00B65575"/>
    <w:rsid w:val="00B671E4"/>
    <w:rsid w:val="00B67ABF"/>
    <w:rsid w:val="00B717BE"/>
    <w:rsid w:val="00B748E6"/>
    <w:rsid w:val="00B74F9E"/>
    <w:rsid w:val="00B77861"/>
    <w:rsid w:val="00B8146B"/>
    <w:rsid w:val="00B8272E"/>
    <w:rsid w:val="00B833B1"/>
    <w:rsid w:val="00B83EC2"/>
    <w:rsid w:val="00B848DB"/>
    <w:rsid w:val="00B90F88"/>
    <w:rsid w:val="00B92378"/>
    <w:rsid w:val="00B94964"/>
    <w:rsid w:val="00B9774D"/>
    <w:rsid w:val="00BA008D"/>
    <w:rsid w:val="00BA18D4"/>
    <w:rsid w:val="00BA1F17"/>
    <w:rsid w:val="00BA1FE0"/>
    <w:rsid w:val="00BA505C"/>
    <w:rsid w:val="00BA6FF9"/>
    <w:rsid w:val="00BB08E6"/>
    <w:rsid w:val="00BB134A"/>
    <w:rsid w:val="00BB3634"/>
    <w:rsid w:val="00BB5531"/>
    <w:rsid w:val="00BC0D80"/>
    <w:rsid w:val="00BC0E17"/>
    <w:rsid w:val="00BC2967"/>
    <w:rsid w:val="00BC3D45"/>
    <w:rsid w:val="00BC61CA"/>
    <w:rsid w:val="00BC6BE6"/>
    <w:rsid w:val="00BC6D37"/>
    <w:rsid w:val="00BC78C1"/>
    <w:rsid w:val="00BC7DDB"/>
    <w:rsid w:val="00BD02B7"/>
    <w:rsid w:val="00BD170C"/>
    <w:rsid w:val="00BD2C1F"/>
    <w:rsid w:val="00BD42F0"/>
    <w:rsid w:val="00BD599C"/>
    <w:rsid w:val="00BD7153"/>
    <w:rsid w:val="00BE11CC"/>
    <w:rsid w:val="00BF0C5E"/>
    <w:rsid w:val="00BF3043"/>
    <w:rsid w:val="00BF70BC"/>
    <w:rsid w:val="00BF73D5"/>
    <w:rsid w:val="00BF761B"/>
    <w:rsid w:val="00C01415"/>
    <w:rsid w:val="00C065E0"/>
    <w:rsid w:val="00C06E9E"/>
    <w:rsid w:val="00C077ED"/>
    <w:rsid w:val="00C107D9"/>
    <w:rsid w:val="00C113CA"/>
    <w:rsid w:val="00C1180C"/>
    <w:rsid w:val="00C11B52"/>
    <w:rsid w:val="00C12343"/>
    <w:rsid w:val="00C12971"/>
    <w:rsid w:val="00C15084"/>
    <w:rsid w:val="00C1685C"/>
    <w:rsid w:val="00C16B41"/>
    <w:rsid w:val="00C2179C"/>
    <w:rsid w:val="00C21ECD"/>
    <w:rsid w:val="00C24B87"/>
    <w:rsid w:val="00C25EF2"/>
    <w:rsid w:val="00C26F77"/>
    <w:rsid w:val="00C333B3"/>
    <w:rsid w:val="00C3488A"/>
    <w:rsid w:val="00C36565"/>
    <w:rsid w:val="00C370B5"/>
    <w:rsid w:val="00C41974"/>
    <w:rsid w:val="00C444CF"/>
    <w:rsid w:val="00C44F3F"/>
    <w:rsid w:val="00C45084"/>
    <w:rsid w:val="00C4604B"/>
    <w:rsid w:val="00C46723"/>
    <w:rsid w:val="00C46BA9"/>
    <w:rsid w:val="00C46E49"/>
    <w:rsid w:val="00C47628"/>
    <w:rsid w:val="00C5144C"/>
    <w:rsid w:val="00C5320F"/>
    <w:rsid w:val="00C5560C"/>
    <w:rsid w:val="00C567BD"/>
    <w:rsid w:val="00C56911"/>
    <w:rsid w:val="00C57736"/>
    <w:rsid w:val="00C601D7"/>
    <w:rsid w:val="00C613CE"/>
    <w:rsid w:val="00C61D29"/>
    <w:rsid w:val="00C62494"/>
    <w:rsid w:val="00C63F36"/>
    <w:rsid w:val="00C64080"/>
    <w:rsid w:val="00C645C9"/>
    <w:rsid w:val="00C64D50"/>
    <w:rsid w:val="00C6752A"/>
    <w:rsid w:val="00C7021A"/>
    <w:rsid w:val="00C70BFA"/>
    <w:rsid w:val="00C722A6"/>
    <w:rsid w:val="00C72419"/>
    <w:rsid w:val="00C72514"/>
    <w:rsid w:val="00C744CB"/>
    <w:rsid w:val="00C748C8"/>
    <w:rsid w:val="00C76321"/>
    <w:rsid w:val="00C7636B"/>
    <w:rsid w:val="00C778EE"/>
    <w:rsid w:val="00C77D01"/>
    <w:rsid w:val="00C839BB"/>
    <w:rsid w:val="00C85011"/>
    <w:rsid w:val="00C8664C"/>
    <w:rsid w:val="00C92FD4"/>
    <w:rsid w:val="00C95506"/>
    <w:rsid w:val="00CA0411"/>
    <w:rsid w:val="00CA3640"/>
    <w:rsid w:val="00CA4CCC"/>
    <w:rsid w:val="00CA7401"/>
    <w:rsid w:val="00CB163A"/>
    <w:rsid w:val="00CB4348"/>
    <w:rsid w:val="00CB43CA"/>
    <w:rsid w:val="00CB5A04"/>
    <w:rsid w:val="00CC1BF8"/>
    <w:rsid w:val="00CC24AF"/>
    <w:rsid w:val="00CC2B7B"/>
    <w:rsid w:val="00CC6E80"/>
    <w:rsid w:val="00CD002E"/>
    <w:rsid w:val="00CD033F"/>
    <w:rsid w:val="00CD079D"/>
    <w:rsid w:val="00CD3FE9"/>
    <w:rsid w:val="00CD4CF5"/>
    <w:rsid w:val="00CD511E"/>
    <w:rsid w:val="00CD58CB"/>
    <w:rsid w:val="00CD7F6D"/>
    <w:rsid w:val="00CE2439"/>
    <w:rsid w:val="00CE415E"/>
    <w:rsid w:val="00CE59D9"/>
    <w:rsid w:val="00CE68A0"/>
    <w:rsid w:val="00CE7744"/>
    <w:rsid w:val="00CF1161"/>
    <w:rsid w:val="00CF152E"/>
    <w:rsid w:val="00CF172A"/>
    <w:rsid w:val="00CF2BBA"/>
    <w:rsid w:val="00CF451D"/>
    <w:rsid w:val="00CF48AD"/>
    <w:rsid w:val="00CF6CF8"/>
    <w:rsid w:val="00CF7530"/>
    <w:rsid w:val="00CF7936"/>
    <w:rsid w:val="00D00675"/>
    <w:rsid w:val="00D04823"/>
    <w:rsid w:val="00D1071E"/>
    <w:rsid w:val="00D169D3"/>
    <w:rsid w:val="00D22095"/>
    <w:rsid w:val="00D23054"/>
    <w:rsid w:val="00D242FA"/>
    <w:rsid w:val="00D27548"/>
    <w:rsid w:val="00D32A0D"/>
    <w:rsid w:val="00D3755C"/>
    <w:rsid w:val="00D40532"/>
    <w:rsid w:val="00D41461"/>
    <w:rsid w:val="00D42C54"/>
    <w:rsid w:val="00D43907"/>
    <w:rsid w:val="00D43C44"/>
    <w:rsid w:val="00D44986"/>
    <w:rsid w:val="00D47298"/>
    <w:rsid w:val="00D47CA2"/>
    <w:rsid w:val="00D50B08"/>
    <w:rsid w:val="00D54C91"/>
    <w:rsid w:val="00D55046"/>
    <w:rsid w:val="00D558F0"/>
    <w:rsid w:val="00D55A4D"/>
    <w:rsid w:val="00D57877"/>
    <w:rsid w:val="00D63EF1"/>
    <w:rsid w:val="00D64909"/>
    <w:rsid w:val="00D65BFE"/>
    <w:rsid w:val="00D668BB"/>
    <w:rsid w:val="00D676C8"/>
    <w:rsid w:val="00D717CE"/>
    <w:rsid w:val="00D72862"/>
    <w:rsid w:val="00D73187"/>
    <w:rsid w:val="00D759D2"/>
    <w:rsid w:val="00D76207"/>
    <w:rsid w:val="00D76494"/>
    <w:rsid w:val="00D82508"/>
    <w:rsid w:val="00D8391B"/>
    <w:rsid w:val="00D843B2"/>
    <w:rsid w:val="00D864E7"/>
    <w:rsid w:val="00D86A56"/>
    <w:rsid w:val="00D86BB2"/>
    <w:rsid w:val="00D95058"/>
    <w:rsid w:val="00D959B4"/>
    <w:rsid w:val="00D9664E"/>
    <w:rsid w:val="00DA2387"/>
    <w:rsid w:val="00DA3EE8"/>
    <w:rsid w:val="00DA3F81"/>
    <w:rsid w:val="00DA5E5E"/>
    <w:rsid w:val="00DA7E1F"/>
    <w:rsid w:val="00DB0266"/>
    <w:rsid w:val="00DB2B5F"/>
    <w:rsid w:val="00DB35EE"/>
    <w:rsid w:val="00DB4628"/>
    <w:rsid w:val="00DB4ADC"/>
    <w:rsid w:val="00DB5DD2"/>
    <w:rsid w:val="00DB783B"/>
    <w:rsid w:val="00DC35EF"/>
    <w:rsid w:val="00DC3F9F"/>
    <w:rsid w:val="00DD247C"/>
    <w:rsid w:val="00DD4A0B"/>
    <w:rsid w:val="00DD4EB2"/>
    <w:rsid w:val="00DD6A29"/>
    <w:rsid w:val="00DE0A0D"/>
    <w:rsid w:val="00DE0B73"/>
    <w:rsid w:val="00DE1BBA"/>
    <w:rsid w:val="00DE2664"/>
    <w:rsid w:val="00DE3A61"/>
    <w:rsid w:val="00DE3A69"/>
    <w:rsid w:val="00DE4318"/>
    <w:rsid w:val="00DE578A"/>
    <w:rsid w:val="00DE6521"/>
    <w:rsid w:val="00DF3576"/>
    <w:rsid w:val="00DF5B57"/>
    <w:rsid w:val="00DF6BF3"/>
    <w:rsid w:val="00E00D4B"/>
    <w:rsid w:val="00E01C5E"/>
    <w:rsid w:val="00E035E2"/>
    <w:rsid w:val="00E038F8"/>
    <w:rsid w:val="00E062BE"/>
    <w:rsid w:val="00E07504"/>
    <w:rsid w:val="00E11072"/>
    <w:rsid w:val="00E11535"/>
    <w:rsid w:val="00E118C9"/>
    <w:rsid w:val="00E122FB"/>
    <w:rsid w:val="00E13BAC"/>
    <w:rsid w:val="00E147BB"/>
    <w:rsid w:val="00E16682"/>
    <w:rsid w:val="00E16F06"/>
    <w:rsid w:val="00E175A9"/>
    <w:rsid w:val="00E21360"/>
    <w:rsid w:val="00E225F1"/>
    <w:rsid w:val="00E228F9"/>
    <w:rsid w:val="00E249A4"/>
    <w:rsid w:val="00E3071C"/>
    <w:rsid w:val="00E31042"/>
    <w:rsid w:val="00E32AB1"/>
    <w:rsid w:val="00E335F0"/>
    <w:rsid w:val="00E346E8"/>
    <w:rsid w:val="00E3552C"/>
    <w:rsid w:val="00E37A9F"/>
    <w:rsid w:val="00E41029"/>
    <w:rsid w:val="00E42000"/>
    <w:rsid w:val="00E42D47"/>
    <w:rsid w:val="00E44E32"/>
    <w:rsid w:val="00E45A4F"/>
    <w:rsid w:val="00E47AE8"/>
    <w:rsid w:val="00E51402"/>
    <w:rsid w:val="00E642C2"/>
    <w:rsid w:val="00E65BB2"/>
    <w:rsid w:val="00E67678"/>
    <w:rsid w:val="00E709DA"/>
    <w:rsid w:val="00E71390"/>
    <w:rsid w:val="00E73DA3"/>
    <w:rsid w:val="00E755E8"/>
    <w:rsid w:val="00E77718"/>
    <w:rsid w:val="00E8491A"/>
    <w:rsid w:val="00E859B1"/>
    <w:rsid w:val="00E87BAD"/>
    <w:rsid w:val="00E90293"/>
    <w:rsid w:val="00E932D6"/>
    <w:rsid w:val="00E94D28"/>
    <w:rsid w:val="00E94FC3"/>
    <w:rsid w:val="00E95834"/>
    <w:rsid w:val="00E95A97"/>
    <w:rsid w:val="00E96882"/>
    <w:rsid w:val="00EA3129"/>
    <w:rsid w:val="00EA3231"/>
    <w:rsid w:val="00EB0BA3"/>
    <w:rsid w:val="00EB1581"/>
    <w:rsid w:val="00EB3751"/>
    <w:rsid w:val="00EB469C"/>
    <w:rsid w:val="00EB4FA5"/>
    <w:rsid w:val="00EB6D1B"/>
    <w:rsid w:val="00EC1328"/>
    <w:rsid w:val="00EC16DD"/>
    <w:rsid w:val="00EC1FA2"/>
    <w:rsid w:val="00EC236D"/>
    <w:rsid w:val="00EC2EAA"/>
    <w:rsid w:val="00EC3CA7"/>
    <w:rsid w:val="00ED021A"/>
    <w:rsid w:val="00ED1647"/>
    <w:rsid w:val="00ED39C8"/>
    <w:rsid w:val="00ED4DAD"/>
    <w:rsid w:val="00ED6CD2"/>
    <w:rsid w:val="00EE056D"/>
    <w:rsid w:val="00EE4A73"/>
    <w:rsid w:val="00EE632F"/>
    <w:rsid w:val="00EF0E48"/>
    <w:rsid w:val="00EF0F76"/>
    <w:rsid w:val="00EF443A"/>
    <w:rsid w:val="00EF55EB"/>
    <w:rsid w:val="00EF786D"/>
    <w:rsid w:val="00F001B7"/>
    <w:rsid w:val="00F01128"/>
    <w:rsid w:val="00F042D3"/>
    <w:rsid w:val="00F0578C"/>
    <w:rsid w:val="00F07909"/>
    <w:rsid w:val="00F12323"/>
    <w:rsid w:val="00F13F3C"/>
    <w:rsid w:val="00F1416D"/>
    <w:rsid w:val="00F1720D"/>
    <w:rsid w:val="00F248A9"/>
    <w:rsid w:val="00F26A78"/>
    <w:rsid w:val="00F26F51"/>
    <w:rsid w:val="00F30DCA"/>
    <w:rsid w:val="00F33BDC"/>
    <w:rsid w:val="00F34C2C"/>
    <w:rsid w:val="00F35426"/>
    <w:rsid w:val="00F4112C"/>
    <w:rsid w:val="00F42DEE"/>
    <w:rsid w:val="00F5160E"/>
    <w:rsid w:val="00F60A48"/>
    <w:rsid w:val="00F63167"/>
    <w:rsid w:val="00F637BF"/>
    <w:rsid w:val="00F65655"/>
    <w:rsid w:val="00F665C8"/>
    <w:rsid w:val="00F74940"/>
    <w:rsid w:val="00F76570"/>
    <w:rsid w:val="00F7726A"/>
    <w:rsid w:val="00F80AB3"/>
    <w:rsid w:val="00F8256E"/>
    <w:rsid w:val="00F90ADA"/>
    <w:rsid w:val="00F925B4"/>
    <w:rsid w:val="00F92755"/>
    <w:rsid w:val="00F96305"/>
    <w:rsid w:val="00F97E4C"/>
    <w:rsid w:val="00FA0136"/>
    <w:rsid w:val="00FA0C72"/>
    <w:rsid w:val="00FA188A"/>
    <w:rsid w:val="00FA282F"/>
    <w:rsid w:val="00FA43BC"/>
    <w:rsid w:val="00FA56C3"/>
    <w:rsid w:val="00FA74DA"/>
    <w:rsid w:val="00FC3314"/>
    <w:rsid w:val="00FC40A5"/>
    <w:rsid w:val="00FC5D4A"/>
    <w:rsid w:val="00FC7499"/>
    <w:rsid w:val="00FC7F14"/>
    <w:rsid w:val="00FD1801"/>
    <w:rsid w:val="00FD3B2F"/>
    <w:rsid w:val="00FD5FBD"/>
    <w:rsid w:val="00FD6058"/>
    <w:rsid w:val="00FE106D"/>
    <w:rsid w:val="00FE5522"/>
    <w:rsid w:val="00FF1C56"/>
    <w:rsid w:val="00FF6507"/>
    <w:rsid w:val="00FF6A95"/>
    <w:rsid w:val="01823B93"/>
    <w:rsid w:val="01D54002"/>
    <w:rsid w:val="0227548C"/>
    <w:rsid w:val="03A63AB5"/>
    <w:rsid w:val="03D9332F"/>
    <w:rsid w:val="057E5176"/>
    <w:rsid w:val="06002480"/>
    <w:rsid w:val="06007F0A"/>
    <w:rsid w:val="0625036B"/>
    <w:rsid w:val="063161F0"/>
    <w:rsid w:val="08A14A12"/>
    <w:rsid w:val="098A3648"/>
    <w:rsid w:val="0A0369CF"/>
    <w:rsid w:val="0A14461F"/>
    <w:rsid w:val="0C660D35"/>
    <w:rsid w:val="0CBF331B"/>
    <w:rsid w:val="0D7154B5"/>
    <w:rsid w:val="0DA50DBC"/>
    <w:rsid w:val="0DEE77C6"/>
    <w:rsid w:val="0E016F15"/>
    <w:rsid w:val="0E076439"/>
    <w:rsid w:val="0F053294"/>
    <w:rsid w:val="0F447083"/>
    <w:rsid w:val="0FC41113"/>
    <w:rsid w:val="0FDB231A"/>
    <w:rsid w:val="0FE73EE9"/>
    <w:rsid w:val="103C19F0"/>
    <w:rsid w:val="10D74A29"/>
    <w:rsid w:val="115E026C"/>
    <w:rsid w:val="12146FD0"/>
    <w:rsid w:val="12901120"/>
    <w:rsid w:val="131755E9"/>
    <w:rsid w:val="13256945"/>
    <w:rsid w:val="138F0B1F"/>
    <w:rsid w:val="15BB4D75"/>
    <w:rsid w:val="16821939"/>
    <w:rsid w:val="17CA6FDF"/>
    <w:rsid w:val="17CF087B"/>
    <w:rsid w:val="17E110A1"/>
    <w:rsid w:val="17E16A01"/>
    <w:rsid w:val="185663DA"/>
    <w:rsid w:val="196C1B1A"/>
    <w:rsid w:val="197E08A8"/>
    <w:rsid w:val="1A5B1B46"/>
    <w:rsid w:val="1A6C5A74"/>
    <w:rsid w:val="1AE74FB9"/>
    <w:rsid w:val="1B1637B9"/>
    <w:rsid w:val="1B82488F"/>
    <w:rsid w:val="1BB43082"/>
    <w:rsid w:val="1C0A6556"/>
    <w:rsid w:val="1CEE76DA"/>
    <w:rsid w:val="1D8A2066"/>
    <w:rsid w:val="1D90704E"/>
    <w:rsid w:val="1DC821DB"/>
    <w:rsid w:val="1E2F6FD3"/>
    <w:rsid w:val="1E42619A"/>
    <w:rsid w:val="1E9E77C7"/>
    <w:rsid w:val="1EB70771"/>
    <w:rsid w:val="1F39459C"/>
    <w:rsid w:val="1FBF0E2C"/>
    <w:rsid w:val="216D6944"/>
    <w:rsid w:val="222A64F6"/>
    <w:rsid w:val="23424A3D"/>
    <w:rsid w:val="2414512F"/>
    <w:rsid w:val="255B65F2"/>
    <w:rsid w:val="25AE664F"/>
    <w:rsid w:val="25D80FB1"/>
    <w:rsid w:val="26C8015D"/>
    <w:rsid w:val="26E55BCC"/>
    <w:rsid w:val="27252BF1"/>
    <w:rsid w:val="27DD61CC"/>
    <w:rsid w:val="28504ED1"/>
    <w:rsid w:val="285D626A"/>
    <w:rsid w:val="28AE48CF"/>
    <w:rsid w:val="28E20B49"/>
    <w:rsid w:val="29263300"/>
    <w:rsid w:val="29F51213"/>
    <w:rsid w:val="2AE8703B"/>
    <w:rsid w:val="2AE9690F"/>
    <w:rsid w:val="2B8534D0"/>
    <w:rsid w:val="2BC901DC"/>
    <w:rsid w:val="2C0627E4"/>
    <w:rsid w:val="2CAD22EA"/>
    <w:rsid w:val="2E545937"/>
    <w:rsid w:val="2E93381A"/>
    <w:rsid w:val="2ED26038"/>
    <w:rsid w:val="2F9718C9"/>
    <w:rsid w:val="2FD74293"/>
    <w:rsid w:val="2FE04E51"/>
    <w:rsid w:val="2FEE7A18"/>
    <w:rsid w:val="301306B6"/>
    <w:rsid w:val="31480833"/>
    <w:rsid w:val="31682EDA"/>
    <w:rsid w:val="327754EF"/>
    <w:rsid w:val="32BF4B25"/>
    <w:rsid w:val="33723370"/>
    <w:rsid w:val="34514978"/>
    <w:rsid w:val="3489363D"/>
    <w:rsid w:val="34951FE2"/>
    <w:rsid w:val="34F52A80"/>
    <w:rsid w:val="355A2F26"/>
    <w:rsid w:val="35F942F0"/>
    <w:rsid w:val="363D4742"/>
    <w:rsid w:val="36C16804"/>
    <w:rsid w:val="36D00086"/>
    <w:rsid w:val="37353E09"/>
    <w:rsid w:val="37603757"/>
    <w:rsid w:val="37E564C7"/>
    <w:rsid w:val="38FE732B"/>
    <w:rsid w:val="39644AFD"/>
    <w:rsid w:val="39D52E80"/>
    <w:rsid w:val="3A63048C"/>
    <w:rsid w:val="3A653EF5"/>
    <w:rsid w:val="3A7E0E22"/>
    <w:rsid w:val="3B025412"/>
    <w:rsid w:val="3C2B1A7E"/>
    <w:rsid w:val="3CA80281"/>
    <w:rsid w:val="3D995F83"/>
    <w:rsid w:val="3DB04665"/>
    <w:rsid w:val="3DF22091"/>
    <w:rsid w:val="3E397EB4"/>
    <w:rsid w:val="3E96400E"/>
    <w:rsid w:val="405F2FA3"/>
    <w:rsid w:val="40C8729B"/>
    <w:rsid w:val="4263703E"/>
    <w:rsid w:val="42BE3E21"/>
    <w:rsid w:val="43AF4742"/>
    <w:rsid w:val="43E81BAE"/>
    <w:rsid w:val="44667519"/>
    <w:rsid w:val="44BB4DAF"/>
    <w:rsid w:val="44E03674"/>
    <w:rsid w:val="45AC718B"/>
    <w:rsid w:val="45EE70E7"/>
    <w:rsid w:val="462B1537"/>
    <w:rsid w:val="46E43386"/>
    <w:rsid w:val="47836886"/>
    <w:rsid w:val="48394BB8"/>
    <w:rsid w:val="48925664"/>
    <w:rsid w:val="48C80A12"/>
    <w:rsid w:val="49841831"/>
    <w:rsid w:val="4A0D425E"/>
    <w:rsid w:val="4ACD12DE"/>
    <w:rsid w:val="4B2876D1"/>
    <w:rsid w:val="4B656DC2"/>
    <w:rsid w:val="4B774297"/>
    <w:rsid w:val="4B9D27D4"/>
    <w:rsid w:val="4CE55FC5"/>
    <w:rsid w:val="4D3D1F62"/>
    <w:rsid w:val="4D995A69"/>
    <w:rsid w:val="4D9F200F"/>
    <w:rsid w:val="4E112F3B"/>
    <w:rsid w:val="4EAC329D"/>
    <w:rsid w:val="50782337"/>
    <w:rsid w:val="50E4322B"/>
    <w:rsid w:val="511954CE"/>
    <w:rsid w:val="5241611A"/>
    <w:rsid w:val="528C33F1"/>
    <w:rsid w:val="534A2C68"/>
    <w:rsid w:val="53650979"/>
    <w:rsid w:val="54186B32"/>
    <w:rsid w:val="54503E68"/>
    <w:rsid w:val="54753743"/>
    <w:rsid w:val="547F5A6B"/>
    <w:rsid w:val="54AA7E38"/>
    <w:rsid w:val="54AE46CE"/>
    <w:rsid w:val="54B32435"/>
    <w:rsid w:val="569510A7"/>
    <w:rsid w:val="57480849"/>
    <w:rsid w:val="57871052"/>
    <w:rsid w:val="594B23BF"/>
    <w:rsid w:val="59916541"/>
    <w:rsid w:val="5A004074"/>
    <w:rsid w:val="5AAA30FB"/>
    <w:rsid w:val="5AB60F22"/>
    <w:rsid w:val="5C986AC8"/>
    <w:rsid w:val="5CA93C03"/>
    <w:rsid w:val="5CD97019"/>
    <w:rsid w:val="5CF64C99"/>
    <w:rsid w:val="5D3E2ED8"/>
    <w:rsid w:val="5D753EAF"/>
    <w:rsid w:val="5DE4741D"/>
    <w:rsid w:val="5F57386C"/>
    <w:rsid w:val="61930B33"/>
    <w:rsid w:val="61CA580C"/>
    <w:rsid w:val="637C5C8A"/>
    <w:rsid w:val="65071890"/>
    <w:rsid w:val="654D6C7E"/>
    <w:rsid w:val="65896D55"/>
    <w:rsid w:val="65A459D4"/>
    <w:rsid w:val="65C356FD"/>
    <w:rsid w:val="65D82FE5"/>
    <w:rsid w:val="66414986"/>
    <w:rsid w:val="66CC4698"/>
    <w:rsid w:val="67A34E79"/>
    <w:rsid w:val="69CE3464"/>
    <w:rsid w:val="6A6634FD"/>
    <w:rsid w:val="6A6D178A"/>
    <w:rsid w:val="6AD73EF6"/>
    <w:rsid w:val="6BD22A0E"/>
    <w:rsid w:val="6C294531"/>
    <w:rsid w:val="6D2D20B0"/>
    <w:rsid w:val="6D4B3B69"/>
    <w:rsid w:val="6DB77BCC"/>
    <w:rsid w:val="6F147D7B"/>
    <w:rsid w:val="70132D8F"/>
    <w:rsid w:val="703A2D74"/>
    <w:rsid w:val="70B47144"/>
    <w:rsid w:val="70D021EC"/>
    <w:rsid w:val="70D41E68"/>
    <w:rsid w:val="712A1F81"/>
    <w:rsid w:val="71367494"/>
    <w:rsid w:val="71A843A0"/>
    <w:rsid w:val="71BB5EFA"/>
    <w:rsid w:val="73380D46"/>
    <w:rsid w:val="73D544F4"/>
    <w:rsid w:val="74695BCE"/>
    <w:rsid w:val="754404AD"/>
    <w:rsid w:val="76870A83"/>
    <w:rsid w:val="799446E5"/>
    <w:rsid w:val="79D7587D"/>
    <w:rsid w:val="7A317A22"/>
    <w:rsid w:val="7AB6117B"/>
    <w:rsid w:val="7BA5585A"/>
    <w:rsid w:val="7D42543C"/>
    <w:rsid w:val="7D9E5B71"/>
    <w:rsid w:val="7DFF4B83"/>
    <w:rsid w:val="7E2056AD"/>
    <w:rsid w:val="7EA61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9"/>
    <w:pPr>
      <w:keepNext/>
      <w:keepLines/>
      <w:spacing w:line="600" w:lineRule="exact"/>
      <w:jc w:val="center"/>
      <w:outlineLvl w:val="0"/>
    </w:pPr>
    <w:rPr>
      <w:rFonts w:eastAsia="方正小标宋简体"/>
      <w:bCs/>
      <w:kern w:val="44"/>
      <w:sz w:val="44"/>
      <w:szCs w:val="44"/>
    </w:rPr>
  </w:style>
  <w:style w:type="paragraph" w:styleId="3">
    <w:name w:val="heading 2"/>
    <w:basedOn w:val="1"/>
    <w:next w:val="1"/>
    <w:link w:val="30"/>
    <w:unhideWhenUsed/>
    <w:qFormat/>
    <w:uiPriority w:val="9"/>
    <w:pPr>
      <w:keepNext/>
      <w:keepLines/>
      <w:spacing w:line="600" w:lineRule="exact"/>
      <w:ind w:firstLine="200" w:firstLineChars="200"/>
      <w:outlineLvl w:val="1"/>
    </w:pPr>
    <w:rPr>
      <w:rFonts w:eastAsia="黑体" w:asciiTheme="majorHAnsi" w:hAnsiTheme="majorHAnsi" w:cstheme="majorBidi"/>
      <w:bCs/>
      <w:sz w:val="34"/>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toa heading"/>
    <w:basedOn w:val="1"/>
    <w:next w:val="1"/>
    <w:qFormat/>
    <w:uiPriority w:val="0"/>
    <w:pPr>
      <w:spacing w:before="120"/>
    </w:pPr>
    <w:rPr>
      <w:rFonts w:ascii="Arial" w:hAnsi="Arial"/>
      <w:sz w:val="24"/>
    </w:rPr>
  </w:style>
  <w:style w:type="paragraph" w:styleId="6">
    <w:name w:val="annotation text"/>
    <w:basedOn w:val="1"/>
    <w:link w:val="33"/>
    <w:semiHidden/>
    <w:unhideWhenUsed/>
    <w:qFormat/>
    <w:uiPriority w:val="99"/>
    <w:pPr>
      <w:jc w:val="left"/>
    </w:pPr>
  </w:style>
  <w:style w:type="paragraph" w:styleId="7">
    <w:name w:val="Body Text"/>
    <w:basedOn w:val="1"/>
    <w:qFormat/>
    <w:uiPriority w:val="0"/>
    <w:pPr>
      <w:ind w:left="159"/>
      <w:jc w:val="left"/>
    </w:pPr>
    <w:rPr>
      <w:rFonts w:ascii="宋体" w:hAnsi="宋体"/>
      <w:kern w:val="0"/>
      <w:sz w:val="23"/>
      <w:szCs w:val="23"/>
      <w:lang w:eastAsia="en-US"/>
    </w:rPr>
  </w:style>
  <w:style w:type="paragraph" w:styleId="8">
    <w:name w:val="toc 3"/>
    <w:basedOn w:val="1"/>
    <w:next w:val="1"/>
    <w:unhideWhenUsed/>
    <w:qFormat/>
    <w:uiPriority w:val="39"/>
    <w:pPr>
      <w:widowControl/>
      <w:spacing w:after="100" w:line="259" w:lineRule="auto"/>
      <w:ind w:left="440"/>
      <w:jc w:val="left"/>
    </w:pPr>
    <w:rPr>
      <w:rFonts w:cs="Times New Roman"/>
      <w:kern w:val="0"/>
      <w:sz w:val="22"/>
    </w:rPr>
  </w:style>
  <w:style w:type="paragraph" w:styleId="9">
    <w:name w:val="Balloon Text"/>
    <w:basedOn w:val="1"/>
    <w:link w:val="27"/>
    <w:semiHidden/>
    <w:unhideWhenUsed/>
    <w:qFormat/>
    <w:uiPriority w:val="99"/>
    <w:rPr>
      <w:sz w:val="18"/>
      <w:szCs w:val="18"/>
    </w:rPr>
  </w:style>
  <w:style w:type="paragraph" w:styleId="10">
    <w:name w:val="footer"/>
    <w:basedOn w:val="1"/>
    <w:link w:val="26"/>
    <w:unhideWhenUsed/>
    <w:qFormat/>
    <w:uiPriority w:val="99"/>
    <w:pPr>
      <w:tabs>
        <w:tab w:val="center" w:pos="4153"/>
        <w:tab w:val="right" w:pos="8306"/>
      </w:tabs>
      <w:snapToGrid w:val="0"/>
      <w:jc w:val="left"/>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59" w:lineRule="auto"/>
      <w:jc w:val="left"/>
    </w:pPr>
    <w:rPr>
      <w:rFonts w:cs="Times New Roman"/>
      <w:kern w:val="0"/>
      <w:sz w:val="22"/>
    </w:rPr>
  </w:style>
  <w:style w:type="paragraph" w:styleId="13">
    <w:name w:val="Subtitle"/>
    <w:basedOn w:val="1"/>
    <w:next w:val="1"/>
    <w:link w:val="36"/>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4">
    <w:name w:val="toc 2"/>
    <w:basedOn w:val="1"/>
    <w:next w:val="1"/>
    <w:unhideWhenUsed/>
    <w:qFormat/>
    <w:uiPriority w:val="39"/>
    <w:pPr>
      <w:widowControl/>
      <w:spacing w:after="100" w:line="259" w:lineRule="auto"/>
      <w:ind w:left="220"/>
      <w:jc w:val="left"/>
    </w:pPr>
    <w:rPr>
      <w:rFonts w:cs="Times New Roman"/>
      <w:kern w:val="0"/>
      <w:sz w:val="22"/>
    </w:rPr>
  </w:style>
  <w:style w:type="paragraph" w:styleId="15">
    <w:name w:val="Title"/>
    <w:basedOn w:val="1"/>
    <w:next w:val="1"/>
    <w:link w:val="35"/>
    <w:qFormat/>
    <w:uiPriority w:val="10"/>
    <w:pPr>
      <w:spacing w:before="240" w:after="60"/>
      <w:jc w:val="center"/>
      <w:outlineLvl w:val="0"/>
    </w:pPr>
    <w:rPr>
      <w:rFonts w:eastAsia="宋体" w:asciiTheme="majorHAnsi" w:hAnsiTheme="majorHAnsi" w:cstheme="majorBidi"/>
      <w:b/>
      <w:bCs/>
      <w:sz w:val="32"/>
      <w:szCs w:val="32"/>
    </w:rPr>
  </w:style>
  <w:style w:type="paragraph" w:styleId="16">
    <w:name w:val="annotation subject"/>
    <w:basedOn w:val="6"/>
    <w:next w:val="6"/>
    <w:link w:val="34"/>
    <w:semiHidden/>
    <w:unhideWhenUsed/>
    <w:qFormat/>
    <w:uiPriority w:val="99"/>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bCs/>
    </w:rPr>
  </w:style>
  <w:style w:type="character" w:styleId="21">
    <w:name w:val="Emphasis"/>
    <w:basedOn w:val="19"/>
    <w:qFormat/>
    <w:uiPriority w:val="20"/>
    <w:rPr>
      <w:color w:val="F73131"/>
    </w:rPr>
  </w:style>
  <w:style w:type="character" w:styleId="22">
    <w:name w:val="Hyperlink"/>
    <w:basedOn w:val="19"/>
    <w:unhideWhenUsed/>
    <w:qFormat/>
    <w:uiPriority w:val="99"/>
    <w:rPr>
      <w:color w:val="0563C1" w:themeColor="hyperlink"/>
      <w:u w:val="single"/>
      <w14:textFill>
        <w14:solidFill>
          <w14:schemeClr w14:val="hlink"/>
        </w14:solidFill>
      </w14:textFill>
    </w:rPr>
  </w:style>
  <w:style w:type="character" w:styleId="23">
    <w:name w:val="annotation reference"/>
    <w:basedOn w:val="19"/>
    <w:semiHidden/>
    <w:unhideWhenUsed/>
    <w:qFormat/>
    <w:uiPriority w:val="99"/>
    <w:rPr>
      <w:sz w:val="21"/>
      <w:szCs w:val="21"/>
    </w:rPr>
  </w:style>
  <w:style w:type="paragraph" w:customStyle="1" w:styleId="24">
    <w:name w:val="Heading2"/>
    <w:basedOn w:val="1"/>
    <w:next w:val="1"/>
    <w:qFormat/>
    <w:uiPriority w:val="0"/>
    <w:pPr>
      <w:keepNext/>
      <w:keepLines/>
      <w:spacing w:before="260" w:after="260" w:line="416" w:lineRule="auto"/>
      <w:textAlignment w:val="baseline"/>
    </w:pPr>
    <w:rPr>
      <w:rFonts w:ascii="Cambria" w:hAnsi="Cambria" w:cs="Times New Roman"/>
      <w:b/>
      <w:bCs/>
      <w:sz w:val="32"/>
      <w:szCs w:val="32"/>
    </w:rPr>
  </w:style>
  <w:style w:type="character" w:customStyle="1" w:styleId="25">
    <w:name w:val="页眉 Char"/>
    <w:basedOn w:val="19"/>
    <w:link w:val="11"/>
    <w:qFormat/>
    <w:uiPriority w:val="99"/>
    <w:rPr>
      <w:sz w:val="18"/>
      <w:szCs w:val="18"/>
    </w:rPr>
  </w:style>
  <w:style w:type="character" w:customStyle="1" w:styleId="26">
    <w:name w:val="页脚 Char"/>
    <w:basedOn w:val="19"/>
    <w:link w:val="10"/>
    <w:qFormat/>
    <w:uiPriority w:val="99"/>
    <w:rPr>
      <w:sz w:val="18"/>
      <w:szCs w:val="18"/>
    </w:rPr>
  </w:style>
  <w:style w:type="character" w:customStyle="1" w:styleId="27">
    <w:name w:val="批注框文本 Char"/>
    <w:basedOn w:val="19"/>
    <w:link w:val="9"/>
    <w:semiHidden/>
    <w:qFormat/>
    <w:uiPriority w:val="99"/>
    <w:rPr>
      <w:sz w:val="18"/>
      <w:szCs w:val="18"/>
    </w:rPr>
  </w:style>
  <w:style w:type="paragraph" w:styleId="28">
    <w:name w:val="List Paragraph"/>
    <w:basedOn w:val="1"/>
    <w:qFormat/>
    <w:uiPriority w:val="34"/>
    <w:pPr>
      <w:ind w:firstLine="420" w:firstLineChars="200"/>
    </w:pPr>
  </w:style>
  <w:style w:type="character" w:customStyle="1" w:styleId="29">
    <w:name w:val="标题 1 Char"/>
    <w:basedOn w:val="19"/>
    <w:link w:val="2"/>
    <w:qFormat/>
    <w:uiPriority w:val="9"/>
    <w:rPr>
      <w:rFonts w:eastAsia="方正小标宋简体"/>
      <w:bCs/>
      <w:kern w:val="44"/>
      <w:sz w:val="44"/>
      <w:szCs w:val="44"/>
    </w:rPr>
  </w:style>
  <w:style w:type="character" w:customStyle="1" w:styleId="30">
    <w:name w:val="标题 2 Char"/>
    <w:basedOn w:val="19"/>
    <w:link w:val="3"/>
    <w:qFormat/>
    <w:uiPriority w:val="9"/>
    <w:rPr>
      <w:rFonts w:eastAsia="黑体" w:asciiTheme="majorHAnsi" w:hAnsiTheme="majorHAnsi" w:cstheme="majorBidi"/>
      <w:bCs/>
      <w:sz w:val="34"/>
      <w:szCs w:val="32"/>
    </w:rPr>
  </w:style>
  <w:style w:type="character" w:customStyle="1" w:styleId="31">
    <w:name w:val="标题 3 Char"/>
    <w:basedOn w:val="19"/>
    <w:link w:val="4"/>
    <w:qFormat/>
    <w:uiPriority w:val="9"/>
    <w:rPr>
      <w:b/>
      <w:bCs/>
      <w:sz w:val="32"/>
      <w:szCs w:val="32"/>
    </w:rPr>
  </w:style>
  <w:style w:type="paragraph" w:customStyle="1" w:styleId="32">
    <w:name w:val="TOC 标题1"/>
    <w:basedOn w:val="2"/>
    <w:next w:val="1"/>
    <w:unhideWhenUsed/>
    <w:qFormat/>
    <w:uiPriority w:val="39"/>
    <w:pPr>
      <w:widowControl/>
      <w:spacing w:before="24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character" w:customStyle="1" w:styleId="33">
    <w:name w:val="批注文字 Char"/>
    <w:basedOn w:val="19"/>
    <w:link w:val="6"/>
    <w:semiHidden/>
    <w:qFormat/>
    <w:uiPriority w:val="99"/>
  </w:style>
  <w:style w:type="character" w:customStyle="1" w:styleId="34">
    <w:name w:val="批注主题 Char"/>
    <w:basedOn w:val="33"/>
    <w:link w:val="16"/>
    <w:semiHidden/>
    <w:qFormat/>
    <w:uiPriority w:val="99"/>
    <w:rPr>
      <w:b/>
      <w:bCs/>
    </w:rPr>
  </w:style>
  <w:style w:type="character" w:customStyle="1" w:styleId="35">
    <w:name w:val="标题 Char"/>
    <w:basedOn w:val="19"/>
    <w:link w:val="15"/>
    <w:qFormat/>
    <w:uiPriority w:val="10"/>
    <w:rPr>
      <w:rFonts w:eastAsia="宋体" w:asciiTheme="majorHAnsi" w:hAnsiTheme="majorHAnsi" w:cstheme="majorBidi"/>
      <w:b/>
      <w:bCs/>
      <w:kern w:val="2"/>
      <w:sz w:val="32"/>
      <w:szCs w:val="32"/>
    </w:rPr>
  </w:style>
  <w:style w:type="character" w:customStyle="1" w:styleId="36">
    <w:name w:val="副标题 Char"/>
    <w:basedOn w:val="19"/>
    <w:link w:val="13"/>
    <w:qFormat/>
    <w:uiPriority w:val="11"/>
    <w:rPr>
      <w:rFonts w:eastAsia="宋体" w:asciiTheme="majorHAnsi" w:hAnsiTheme="majorHAnsi" w:cstheme="majorBidi"/>
      <w:b/>
      <w:bCs/>
      <w:kern w:val="28"/>
      <w:sz w:val="32"/>
      <w:szCs w:val="32"/>
    </w:rPr>
  </w:style>
  <w:style w:type="character" w:customStyle="1" w:styleId="37">
    <w:name w:val="font01"/>
    <w:basedOn w:val="19"/>
    <w:qFormat/>
    <w:uiPriority w:val="0"/>
    <w:rPr>
      <w:rFonts w:hint="default" w:ascii="Calibri" w:hAnsi="Calibri" w:cs="Calibri"/>
      <w:color w:val="000000"/>
      <w:sz w:val="22"/>
      <w:szCs w:val="22"/>
      <w:u w:val="none"/>
    </w:rPr>
  </w:style>
  <w:style w:type="character" w:customStyle="1" w:styleId="38">
    <w:name w:val="font11"/>
    <w:basedOn w:val="19"/>
    <w:qFormat/>
    <w:uiPriority w:val="0"/>
    <w:rPr>
      <w:rFonts w:hint="eastAsia" w:ascii="宋体" w:hAnsi="宋体" w:eastAsia="宋体" w:cs="宋体"/>
      <w:color w:val="000000"/>
      <w:sz w:val="22"/>
      <w:szCs w:val="22"/>
      <w:u w:val="none"/>
    </w:rPr>
  </w:style>
  <w:style w:type="paragraph" w:customStyle="1" w:styleId="39">
    <w:name w:val="WPSOffice手动目录 1"/>
    <w:qFormat/>
    <w:uiPriority w:val="0"/>
    <w:pPr>
      <w:ind w:leftChars="0"/>
    </w:pPr>
    <w:rPr>
      <w:rFonts w:ascii="Times New Roman" w:hAnsi="Times New Roman" w:eastAsia="宋体" w:cs="Times New Roman"/>
      <w:sz w:val="20"/>
      <w:szCs w:val="20"/>
    </w:rPr>
  </w:style>
  <w:style w:type="table" w:customStyle="1" w:styleId="40">
    <w:name w:val="Table Normal"/>
    <w:semiHidden/>
    <w:unhideWhenUsed/>
    <w:qFormat/>
    <w:uiPriority w:val="0"/>
    <w:tblPr>
      <w:tblCellMar>
        <w:top w:w="0" w:type="dxa"/>
        <w:left w:w="0" w:type="dxa"/>
        <w:bottom w:w="0" w:type="dxa"/>
        <w:right w:w="0" w:type="dxa"/>
      </w:tblCellMar>
    </w:tblPr>
  </w:style>
  <w:style w:type="paragraph" w:customStyle="1" w:styleId="41">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15</Pages>
  <Words>3151</Words>
  <Characters>3303</Characters>
  <Lines>57</Lines>
  <Paragraphs>16</Paragraphs>
  <TotalTime>143</TotalTime>
  <ScaleCrop>false</ScaleCrop>
  <LinksUpToDate>false</LinksUpToDate>
  <CharactersWithSpaces>3342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2021-11-11T08:48:00Z</dcterms:created>
  <dc:creator>张 明慧</dc:creator>
  <cp:lastModifiedBy>Amy</cp:lastModifiedBy>
  <cp:lastPrinted>2024-12-16T02:21:00Z</cp:lastPrinted>
  <dcterms:modified xsi:type="dcterms:W3CDTF">2024-12-30T09:19:35Z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AC910440A1A14285BD1B960DD866DF30_13</vt:lpwstr>
  </property>
  <property fmtid="{D5CDD505-2E9C-101B-9397-08002B2CF9AE}" pid="4" name="KSOTemplateDocerSaveRecord">
    <vt:lpwstr>eyJoZGlkIjoiNTE5ZjE5MTkyZTlhYmFhN2FmMmUxYjM3MGViZDZkNzIiLCJ1c2VySWQiOiIxMDI5NjA1OTcwIn0=</vt:lpwstr>
  </property>
</Properties>
</file>