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附件1</w:t>
      </w:r>
    </w:p>
    <w:p>
      <w:pPr>
        <w:pStyle w:val="15"/>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中医针法类医疗服务价格项目规范表</w:t>
      </w:r>
    </w:p>
    <w:tbl>
      <w:tblPr>
        <w:tblStyle w:val="16"/>
        <w:tblW w:w="16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754"/>
        <w:gridCol w:w="1692"/>
        <w:gridCol w:w="2744"/>
        <w:gridCol w:w="2551"/>
        <w:gridCol w:w="723"/>
        <w:gridCol w:w="1104"/>
        <w:gridCol w:w="3099"/>
        <w:gridCol w:w="7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4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服务产出</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价格构成</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单位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项目价格</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（元）</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79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医保类别</w:t>
            </w:r>
          </w:p>
        </w:tc>
        <w:tc>
          <w:tcPr>
            <w:tcW w:w="10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工伤</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保险类别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4" w:hRule="atLeast"/>
          <w:jc w:val="center"/>
        </w:trPr>
        <w:tc>
          <w:tcPr>
            <w:tcW w:w="46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auto"/>
                <w:sz w:val="21"/>
                <w:szCs w:val="21"/>
                <w:u w:val="none"/>
              </w:rPr>
            </w:pP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中医针法</w:t>
            </w:r>
          </w:p>
        </w:tc>
        <w:tc>
          <w:tcPr>
            <w:tcW w:w="10221"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使用说明：</w:t>
            </w:r>
            <w:r>
              <w:rPr>
                <w:rFonts w:hint="eastAsia" w:ascii="宋体" w:hAnsi="宋体" w:eastAsia="宋体" w:cs="宋体"/>
                <w:b/>
                <w:i w:val="0"/>
                <w:color w:val="auto"/>
                <w:kern w:val="0"/>
                <w:sz w:val="21"/>
                <w:szCs w:val="21"/>
                <w:u w:val="none"/>
                <w:lang w:val="en-US" w:eastAsia="zh-CN" w:bidi="ar"/>
              </w:rPr>
              <w:br w:type="textWrapping"/>
            </w:r>
            <w:r>
              <w:rPr>
                <w:rStyle w:val="40"/>
                <w:color w:val="auto"/>
                <w:sz w:val="21"/>
                <w:szCs w:val="21"/>
                <w:lang w:val="en-US" w:eastAsia="zh-CN" w:bidi="ar"/>
              </w:rPr>
              <w:t>1.“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中医针法的“价格构成”涵盖了中医针法开穴、取穴、选针、进针、留针、行针、出针等整个操作过程，原按操作步骤单独设立的价格项目如“子午流注开穴法、灵龟八法开穴法、飞腾八法开穴法”等，以价格构成的形式计入中医针法价格项目，不再拆分立项。</w:t>
            </w:r>
            <w:r>
              <w:rPr>
                <w:rStyle w:val="40"/>
                <w:color w:val="auto"/>
                <w:sz w:val="21"/>
                <w:szCs w:val="21"/>
                <w:lang w:val="en-US" w:eastAsia="zh-CN" w:bidi="ar"/>
              </w:rPr>
              <w:br w:type="textWrapping"/>
            </w:r>
            <w:r>
              <w:rPr>
                <w:rStyle w:val="40"/>
                <w:color w:val="auto"/>
                <w:sz w:val="21"/>
                <w:szCs w:val="21"/>
                <w:lang w:val="en-US" w:eastAsia="zh-CN" w:bidi="ar"/>
              </w:rPr>
              <w:t>2.“加收项”，指同一项目以不同方式提供或在不同场景应用时，确有必要制定差异化价格标准而细分的一类子项，包括在原项目价格基础上增加收费的情况，实际应用中，同时涉及多个加收项的，以主项目单价为基础计算各项的加收水平后，求和得出加收金额。同一序列的加收项，例如“11主任医师加收”和“12副主任医师加收”不重复收费；不同序列的加收项，例如“11主任医师加收”和“01儿童加收”可以同时收取，加收项两位编码第1位相同的，视为同一序列。</w:t>
            </w:r>
            <w:r>
              <w:rPr>
                <w:rStyle w:val="40"/>
                <w:color w:val="auto"/>
                <w:sz w:val="21"/>
                <w:szCs w:val="21"/>
                <w:lang w:val="en-US" w:eastAsia="zh-CN" w:bidi="ar"/>
              </w:rPr>
              <w:br w:type="textWrapping"/>
            </w:r>
            <w:r>
              <w:rPr>
                <w:rStyle w:val="40"/>
                <w:color w:val="auto"/>
                <w:sz w:val="21"/>
                <w:szCs w:val="21"/>
                <w:lang w:val="en-US" w:eastAsia="zh-CN" w:bidi="ar"/>
              </w:rPr>
              <w:t>3.“扩展项”，指同一项目下以不同方式提供或在不同场景应用时，只扩展价格项目适用范围、不额外加价的一类子项，子项的价格按主项目执行。</w:t>
            </w:r>
            <w:r>
              <w:rPr>
                <w:rStyle w:val="40"/>
                <w:color w:val="auto"/>
                <w:sz w:val="21"/>
                <w:szCs w:val="21"/>
                <w:lang w:val="en-US" w:eastAsia="zh-CN" w:bidi="ar"/>
              </w:rPr>
              <w:br w:type="textWrapping"/>
            </w:r>
            <w:r>
              <w:rPr>
                <w:rStyle w:val="40"/>
                <w:color w:val="auto"/>
                <w:sz w:val="21"/>
                <w:szCs w:val="21"/>
                <w:lang w:val="en-US" w:eastAsia="zh-CN" w:bidi="ar"/>
              </w:rPr>
              <w:t>4.“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w:t>
            </w:r>
            <w:r>
              <w:rPr>
                <w:rFonts w:hint="eastAsia" w:ascii="宋体" w:hAnsi="宋体" w:eastAsia="宋体" w:cs="宋体"/>
                <w:i w:val="0"/>
                <w:strike/>
                <w:color w:val="auto"/>
                <w:kern w:val="0"/>
                <w:sz w:val="21"/>
                <w:szCs w:val="21"/>
                <w:lang w:val="en-US" w:eastAsia="zh-CN" w:bidi="ar"/>
              </w:rPr>
              <w:br w:type="textWrapping"/>
            </w:r>
            <w:r>
              <w:rPr>
                <w:rStyle w:val="40"/>
                <w:color w:val="auto"/>
                <w:sz w:val="21"/>
                <w:szCs w:val="21"/>
                <w:lang w:val="en-US" w:eastAsia="zh-CN" w:bidi="ar"/>
              </w:rPr>
              <w:t>5.“选针”，指针刺前准备，选择类别、材质、型号规格适宜的针具，根据患者的体质、体形、年龄、病情和腧穴部位等，选用适合针具施治，不再对材质、类别等进行区别计费。</w:t>
            </w:r>
            <w:r>
              <w:rPr>
                <w:rStyle w:val="40"/>
                <w:color w:val="auto"/>
                <w:sz w:val="21"/>
                <w:szCs w:val="21"/>
                <w:lang w:val="en-US" w:eastAsia="zh-CN" w:bidi="ar"/>
              </w:rPr>
              <w:br w:type="textWrapping"/>
            </w:r>
            <w:r>
              <w:rPr>
                <w:rStyle w:val="40"/>
                <w:color w:val="auto"/>
                <w:sz w:val="21"/>
                <w:szCs w:val="21"/>
                <w:lang w:val="en-US" w:eastAsia="zh-CN" w:bidi="ar"/>
              </w:rPr>
              <w:t>6.“进针”，指将针具刺入体内的方法，在操作上一般通过循按经脉，揣按穴位等预备方法，然后将针由浅入深地刺入预定的深度，不再区分针具刺入的深浅度分别立项或分别制定收费标准；“行针”，指将针刺刺入腧穴后，为了使之得气、调节针感以及进行补泻等而实施的各种手法，如提插捻转、循法、弹法、刮法、摇法、飞法、震颤法等；“留针”，指将针具刺入腧穴并施行手法后，将针留置于腧穴内一定时间的方法；“出针”，指行针完毕后，将针拔出的操作方法。</w:t>
            </w:r>
            <w:r>
              <w:rPr>
                <w:rStyle w:val="40"/>
                <w:color w:val="auto"/>
                <w:sz w:val="21"/>
                <w:szCs w:val="21"/>
                <w:lang w:val="en-US" w:eastAsia="zh-CN" w:bidi="ar"/>
              </w:rPr>
              <w:br w:type="textWrapping"/>
            </w:r>
            <w:r>
              <w:rPr>
                <w:rStyle w:val="40"/>
                <w:color w:val="auto"/>
                <w:sz w:val="21"/>
                <w:szCs w:val="21"/>
                <w:lang w:val="en-US" w:eastAsia="zh-CN" w:bidi="ar"/>
              </w:rPr>
              <w:t>7.“特殊针具”，指国家卫生健康委制定发布技术规范收录的，长度、直径、形制、用法显著区别于毫针的其他针具，如芒针等。“特殊手法”，指国家卫生健康委制定发布技术规范单列的特色针刺手法，以及其他传承有序、列入地市级及以上非物质文化遗产的针法技术。医疗机构应用其他新手法或新针具开展中医针法治疗，尚未列入国家卫生健康委制定发布技术规范、不符合前述要求的，采取现有项目兼容的方式，按照常规针法的价格政策执行。</w:t>
            </w:r>
            <w:r>
              <w:rPr>
                <w:rStyle w:val="40"/>
                <w:color w:val="auto"/>
                <w:sz w:val="21"/>
                <w:szCs w:val="21"/>
                <w:lang w:val="en-US" w:eastAsia="zh-CN" w:bidi="ar"/>
              </w:rPr>
              <w:br w:type="textWrapping"/>
            </w:r>
            <w:r>
              <w:rPr>
                <w:rStyle w:val="40"/>
                <w:color w:val="auto"/>
                <w:sz w:val="21"/>
                <w:szCs w:val="21"/>
                <w:lang w:val="en-US" w:eastAsia="zh-CN" w:bidi="ar"/>
              </w:rPr>
              <w:t>8.“特殊穴位”，指具有一定危险性穴位，包括睛明、承泣、球后、风府、风池、哑门、人迎、天突、冲门、长强、会阴、八髎、金津、玉液及位于胸胁、颈项、背部的腧穴。“特殊部位”，指未列入传统中医腧穴范畴，中医针法治疗有效，具有一定危险性的特殊部位，例如国家卫生健康委制定发布技术规范中所列的眼窝内施针、翼腭窝深部的蝶腭神经节施针等情形。常规针法治疗或特殊针法治疗中涉及特殊穴位的，可在收取“常规针法”或“特殊针法”费用的基础上，同时收取“特殊穴位针法”的费用。</w:t>
            </w:r>
            <w:r>
              <w:rPr>
                <w:rStyle w:val="40"/>
                <w:color w:val="auto"/>
                <w:sz w:val="21"/>
                <w:szCs w:val="21"/>
                <w:lang w:val="en-US" w:eastAsia="zh-CN" w:bidi="ar"/>
              </w:rPr>
              <w:br w:type="textWrapping"/>
            </w:r>
            <w:r>
              <w:rPr>
                <w:rStyle w:val="40"/>
                <w:color w:val="auto"/>
                <w:sz w:val="21"/>
                <w:szCs w:val="21"/>
                <w:lang w:val="en-US" w:eastAsia="zh-CN" w:bidi="ar"/>
              </w:rPr>
              <w:t>9.“特殊开穴手法”，指国家卫生健康委制定发布技术规范中单列的特色开穴手法，如“子午流注开穴法”、“灵龟八法开穴法”、“飞腾八法开穴法”等，开穴（取穴）作为针法操作价格的一部分，各地在整合本地项目时，原来单独立项的，应合并到“特殊针法”项目价格构成中。</w:t>
            </w:r>
            <w:r>
              <w:rPr>
                <w:rStyle w:val="40"/>
                <w:color w:val="auto"/>
                <w:sz w:val="21"/>
                <w:szCs w:val="21"/>
                <w:lang w:val="en-US" w:eastAsia="zh-CN" w:bidi="ar"/>
              </w:rPr>
              <w:br w:type="textWrapping"/>
            </w:r>
            <w:r>
              <w:rPr>
                <w:rStyle w:val="40"/>
                <w:color w:val="auto"/>
                <w:sz w:val="21"/>
                <w:szCs w:val="21"/>
                <w:lang w:val="en-US" w:eastAsia="zh-CN" w:bidi="ar"/>
              </w:rPr>
              <w:t>10.“仪器针法”，指应用仪器产生的电、热、冷、磁、振动、光等各类效应替代针具完成针法操作的针刺治疗，例如国家卫生健康委制定发布技术规范中所列的激光针治疗等。“仪器辅助操作”，指医师实施常规针法、特殊针具针法、特殊手法针法时，利用仪器使针具产生振动、电流、温度变化等，辅助完成针刺操作或者强化针刺效果。</w:t>
            </w:r>
            <w:r>
              <w:rPr>
                <w:rStyle w:val="40"/>
                <w:color w:val="auto"/>
                <w:sz w:val="21"/>
                <w:szCs w:val="21"/>
                <w:lang w:val="en-US" w:eastAsia="zh-CN" w:bidi="ar"/>
              </w:rPr>
              <w:br w:type="textWrapping"/>
            </w:r>
            <w:r>
              <w:rPr>
                <w:rStyle w:val="40"/>
                <w:color w:val="auto"/>
                <w:sz w:val="21"/>
                <w:szCs w:val="21"/>
                <w:lang w:val="en-US" w:eastAsia="zh-CN" w:bidi="ar"/>
              </w:rPr>
              <w:t>11.医疗服务价格项目立项指南中涉及“包括……”“……等”的，属于开放型表述，所指对象不仅局限于表述中列明的事项，也包括未列明的同类事项。</w:t>
            </w:r>
            <w:r>
              <w:rPr>
                <w:rStyle w:val="40"/>
                <w:color w:val="auto"/>
                <w:sz w:val="21"/>
                <w:szCs w:val="21"/>
                <w:lang w:val="en-US" w:eastAsia="zh-CN" w:bidi="ar"/>
              </w:rPr>
              <w:br w:type="textWrapping"/>
            </w:r>
            <w:r>
              <w:rPr>
                <w:rStyle w:val="40"/>
                <w:color w:val="auto"/>
                <w:sz w:val="21"/>
                <w:szCs w:val="21"/>
                <w:lang w:val="en-US" w:eastAsia="zh-CN" w:bidi="ar"/>
              </w:rPr>
              <w:t>12.“中医自血疗法”，指医务人员根据病情选穴，取患者自体血液，并通过穴位或肌肉组织注回患者自身体内，含取血、注射等操作。</w:t>
            </w:r>
            <w:r>
              <w:rPr>
                <w:rStyle w:val="40"/>
                <w:color w:val="auto"/>
                <w:sz w:val="21"/>
                <w:szCs w:val="21"/>
                <w:lang w:val="en-US" w:eastAsia="zh-CN" w:bidi="ar"/>
              </w:rPr>
              <w:br w:type="textWrapping"/>
            </w:r>
            <w:r>
              <w:rPr>
                <w:rStyle w:val="40"/>
                <w:color w:val="auto"/>
                <w:sz w:val="21"/>
                <w:szCs w:val="21"/>
                <w:lang w:val="en-US" w:eastAsia="zh-CN" w:bidi="ar"/>
              </w:rPr>
              <w:t>13.计价单位中的“次•日”，指完成一次完整的针刺过程，不以进针数量计费，每日收费一次。</w:t>
            </w:r>
            <w:r>
              <w:rPr>
                <w:rStyle w:val="40"/>
                <w:color w:val="auto"/>
                <w:sz w:val="21"/>
                <w:szCs w:val="21"/>
                <w:lang w:val="en-US" w:eastAsia="zh-CN" w:bidi="ar"/>
              </w:rPr>
              <w:br w:type="textWrapping"/>
            </w:r>
            <w:r>
              <w:rPr>
                <w:rStyle w:val="40"/>
                <w:color w:val="auto"/>
                <w:sz w:val="21"/>
                <w:szCs w:val="21"/>
                <w:lang w:val="en-US" w:eastAsia="zh-CN" w:bidi="ar"/>
              </w:rPr>
              <w:t>14.“儿童”，指6周岁以下。周岁的计算方法以法律的相关规定为准。</w:t>
            </w:r>
            <w:r>
              <w:rPr>
                <w:rStyle w:val="40"/>
                <w:color w:val="auto"/>
                <w:sz w:val="21"/>
                <w:szCs w:val="21"/>
                <w:lang w:val="en-US" w:eastAsia="zh-CN" w:bidi="ar"/>
              </w:rPr>
              <w:br w:type="textWrapping"/>
            </w:r>
            <w:r>
              <w:rPr>
                <w:rStyle w:val="40"/>
                <w:color w:val="auto"/>
                <w:sz w:val="21"/>
                <w:szCs w:val="21"/>
                <w:lang w:val="en-US" w:eastAsia="zh-CN" w:bidi="ar"/>
              </w:rPr>
              <w:t>15.中医类医疗服务价格项目中所称的“医师”，指具备中医类别执业（助理）医师资格或经培训合格的西学中人员。</w:t>
            </w:r>
          </w:p>
        </w:tc>
        <w:tc>
          <w:tcPr>
            <w:tcW w:w="791"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089"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由主治及以下医师根据病情选穴，通过基本手法和辅助手法，以毫针治疗疾病，促进疏通经络，调理脏腑，扶正祛邪。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所定价格涵盖穴位确定、消毒、选针、进针、行针、留针、出针、必要时行仪器辅助操作等过程中所需的人力资源和基本物质资源消耗，含设备投入及维护成本。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同时采用了常规针法、特殊针具针法、特殊手法针法中的两项或者三项，按收费标准最高的服务项目计费，不叠加计费。</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PBCA0001JSX01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PBCA0001JSX11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常规针法-主任医师（加收）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PBCA0001JSX12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常规针法-副主任医师（加收）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特殊针具针法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由主治及以下医师根据病情选穴，通过基本手法和辅助手法，以特殊针具治疗疾病，促进疏通经络，调理脏腑，扶正祛邪。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所定价格涵盖穴位确定、消毒、选针、进针、行针、留针、出针、必要时行仪器辅助操作等过程中所需的人力资源和基本物质资源消耗，含设备投入及维护成本。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66</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同时采用了常规针法、特殊针具针法、特殊手法针法中的两项或者三项，按收费标准最高的服务项目计费，不叠加计费。</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PBCA0002JSX01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特殊针具针法-儿童（加收）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PBCA0002JSX11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特殊针具针法-主任医师（加收）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PBCA0002JSX12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特殊针具针法-副主任医师（加收）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PBCA0003</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由主治及以下医师根据病情，采取特殊开穴方法或通过毫针特殊手法，治疗疾病，促进疏通经络，调理脏腑，扶正祛邪。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所定价格涵盖穴位确定、消毒、选针、进针、行针、留针、出针、必要时行仪器辅助操作等过程中所需的人力资源和基本物质资源消耗，含设备投入及维护成本。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132</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同时采用了常规针法、特殊针具针法、特殊手法针法中的两项或者三项，按收费标准最高的服务项目计费，不叠加计费。</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PBCA0003JSX01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PBCA0003JSX11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特殊手法针法-主任医师（加收）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78</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PBCA0003JSX12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特殊手法针法-副主任医师（加收）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PBCA0004</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特殊穴位（部位）针法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由主治及以下医师根据病情选穴，采用毫针进行特殊穴位的刺激，治疗疾病，促进疏通经络，调理脏腑，扶正祛邪。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所定价格涵盖部位确定、消毒、选针、进针、行针、留针、出针、必要时行仪器辅助操作等过程中所需的人力资源和基本物质资源消耗，含设备投入及维护成本。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PBCA0004JSX01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特殊穴位(部位)针法-儿童（加收）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PBCA0004JSX11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特殊穴位(部位)针法-主任医师（加收）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PBCA0004JSX12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特殊穴位(部位)针法-副主任医师（加收）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PBCA0005</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仪器针法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由医师根据病情，选择适宜的仪器，通过各类仪器产生电、热、冷、磁、振动、光等各类效应替代针具治疗疾病，促进疏通经络，调理脏腑，扶正祛邪。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所定价格涵盖部位确定、消毒、选针、进针、行针、留针、出针等过程中所需的人力资源和基本物质资源消耗，含设备投入及维护成本。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PBCA0005JSX01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仪器针法-儿童（加收）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PBCA0006</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体表针法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由主治及以下医师根据病情选穴，通过非锐性针具施于体表，配合手法治疗各系统疾病，促进疏通经络，调理脏腑，扶正祛邪。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所定价格涵盖部位确定、选针、体表施治等过程中所需的人力资源和基本物质资源消耗，含设备投入及维护成本。</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PBCA0006JSX01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体表针法-儿童（加收）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PBCA0006JSX11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体表针法-主任医师（加收）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PBCA0006JSX12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体表针法-副主任医师（加收）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PBCA0007</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活体生物针法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由医师根据病情选穴，通过各类活体生物，配合手法，作用于人体，促进疏通经络，调理脏腑，扶正祛邪。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所定价格涵盖部位确定、消毒、活体生物施治等过程中所需的人力资源和基本物质资源消耗。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66</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PBCA0007JSX01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活体生物针法-儿童(加收)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次•日</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穴位埋入</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由医师根据病情选穴，将相关医用耗材埋入体内，促进疏通经络，气血调和，补虚泻实。</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所定价格涵盖穴位确定、消毒、埋入，处理创口用物所需的人力资源和基本物质资源消耗。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3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皮内针治疗按50%收费。</w:t>
            </w: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PBCD0001JSX01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穴位埋入-儿童(加收)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PBCD0001JSX11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皮内针治疗（减收）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3099"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PBCD0002</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穴位注射</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由医师根据病情选穴，配合手法，进行穴位注射，促进疏通经络，调理脏腑，扶正祛邪。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所定价格涵盖穴位确定、消毒、注射、取针、局部处理等过程中所需的人力资源和基本物质资源消耗。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PBCD0002JSX01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穴位注射-儿童(加收)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PBCD0002KZX01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穴位注射-中医自血疗法(扩展)</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4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PBCD0003</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耳穴疗法</w:t>
            </w:r>
          </w:p>
        </w:tc>
        <w:tc>
          <w:tcPr>
            <w:tcW w:w="27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由医务人员根据病情在耳穴表面，通过贴敷颗粒物（如药物或磁珠等），配合适度的手法，促进疏通经络，调理脏腑，扶正祛邪。</w:t>
            </w:r>
          </w:p>
        </w:tc>
        <w:tc>
          <w:tcPr>
            <w:tcW w:w="25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所定价格涵盖穴位确定、消毒、贴敷、按压等过程中所需的人力资源和基本物质资源消耗。</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单耳</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7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PBCD0003JSX01</w:t>
            </w:r>
          </w:p>
        </w:tc>
        <w:tc>
          <w:tcPr>
            <w:tcW w:w="16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耳穴疗法-儿童(加收)</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auto"/>
                <w:sz w:val="21"/>
                <w:szCs w:val="21"/>
                <w:u w:val="none"/>
              </w:rPr>
            </w:pP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auto"/>
                <w:sz w:val="21"/>
                <w:szCs w:val="21"/>
                <w:u w:val="none"/>
              </w:rPr>
            </w:pP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单耳</w:t>
            </w:r>
          </w:p>
        </w:tc>
        <w:tc>
          <w:tcPr>
            <w:tcW w:w="11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0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b/>
                <w:i w:val="0"/>
                <w:color w:val="auto"/>
                <w:sz w:val="21"/>
                <w:szCs w:val="21"/>
                <w:u w:val="none"/>
              </w:rPr>
            </w:pPr>
          </w:p>
        </w:tc>
        <w:tc>
          <w:tcPr>
            <w:tcW w:w="79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0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bl>
    <w:p>
      <w:pPr>
        <w:pStyle w:val="15"/>
        <w:ind w:left="0" w:leftChars="0" w:firstLine="0" w:firstLineChars="0"/>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15"/>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护理类医疗服务价格项目规范表</w:t>
      </w:r>
    </w:p>
    <w:tbl>
      <w:tblPr>
        <w:tblStyle w:val="16"/>
        <w:tblW w:w="16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581"/>
        <w:gridCol w:w="1629"/>
        <w:gridCol w:w="2187"/>
        <w:gridCol w:w="3813"/>
        <w:gridCol w:w="846"/>
        <w:gridCol w:w="849"/>
        <w:gridCol w:w="2784"/>
        <w:gridCol w:w="83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服务产出</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价格构成</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单位</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（元）</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医保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工伤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auto"/>
                <w:sz w:val="21"/>
                <w:szCs w:val="21"/>
                <w:u w:val="none"/>
              </w:rPr>
            </w:pPr>
          </w:p>
        </w:tc>
        <w:tc>
          <w:tcPr>
            <w:tcW w:w="150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auto"/>
                <w:sz w:val="21"/>
                <w:szCs w:val="21"/>
                <w:u w:val="none"/>
              </w:rPr>
            </w:pP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护理</w:t>
            </w:r>
          </w:p>
        </w:tc>
        <w:tc>
          <w:tcPr>
            <w:tcW w:w="10470"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使用说明：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 “扩展项”，指同一项目下以不同方式提供或在不同场景应用时，只扩展价格项目适用范围、不额外加价的一类子项，子项的价格按主项目执行。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 “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6.“互联网+护理服务”不单设医疗服务价格项目，按照“上门服务费+护理项目价格”的方式计费。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7.本指南中涉及“包括……”“……等”的，属于开放型表述，所指对象不仅局限于表述中列明的事项，也包括未列明的同类事项。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9.除指南项目有特殊规定不能同时收取外，专科护理可以与分级护理、专项护理同时收取。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10.按日收取的各项护理费用计入不计出（即入院当日按一日计算收费，出院当日不计算收费）；当日入院当日出院的，不足半日按半日计收，超过半日不足一日的按一日计收。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11.“儿童”指6周岁以下。周岁的计算方法以法律的相关规定为准。</w:t>
            </w:r>
            <w:r>
              <w:rPr>
                <w:rFonts w:hint="eastAsia" w:ascii="宋体" w:hAnsi="宋体" w:eastAsia="宋体" w:cs="宋体"/>
                <w:i w:val="0"/>
                <w:color w:val="auto"/>
                <w:kern w:val="0"/>
                <w:sz w:val="21"/>
                <w:szCs w:val="21"/>
                <w:u w:val="none"/>
                <w:lang w:val="en-US" w:eastAsia="zh-CN" w:bidi="ar"/>
              </w:rPr>
              <w:br w:type="textWrapping"/>
            </w:r>
            <w:r>
              <w:rPr>
                <w:rStyle w:val="41"/>
                <w:color w:val="auto"/>
                <w:sz w:val="21"/>
                <w:szCs w:val="21"/>
                <w:lang w:val="en-US" w:eastAsia="zh-CN" w:bidi="ar"/>
              </w:rPr>
              <w:t>12.专项护理在门、急诊操作时可参照收费。</w:t>
            </w:r>
          </w:p>
        </w:tc>
        <w:tc>
          <w:tcPr>
            <w:tcW w:w="83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9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ACA</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分级护理</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9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ACAD0002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特级护理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指为病情危重，随时可能发生病情变化需要进行监护、抢救的患者；各种复杂或大手术后、严重创伤或大面积烧伤的患者提供的相关护理。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160</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ACAD0002JSX01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特级护理-儿童（加收）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48</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ACAC0002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Ⅰ级护理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72</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ACAC0002JSX01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Ⅰ级护理-儿童（加收）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ACAB0002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Ⅱ级护理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涵盖观察病情及生命体征、根据医嘱正确实施治疗用药、评估、评定、辅助实施生活护理、书写护理记录，皮肤清洁、心理护理、健康指导等所需的人力资源和基本物质资源消耗。不含专项护理。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ACAA0002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Ⅲ级护理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指病情稳定或处于康复期，且自理能力轻度依赖或无依赖的患者提供的相关护理。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涵盖观察病情及生命体征、根据医嘱正确实施治疗用药、评估、评定、书写护理记录、心理护理、健康指导等所需的人力资源和基本物质资源消耗。不含专项护理。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ACC</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专科护理</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9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ACCA0001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急诊留观护理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指为需留在急诊进行观察的患者提供的相关护理。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不与口腔护理、会阴护理和肛周护理同时收取。当天转住院的，急诊留观护理与分级护理费用不得同时收取。</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ACCB0001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重症监护护理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指在重症监护病房内，护理人员为重症监护患者提供的相关护理。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不与分级护理同时收费，可与严密隔离护理/保护性隔离护理同时收费，不包含监测项目费用。</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ACCB0001JSX01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重症监护护理-儿童（加收）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ACCC0001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精神病人护理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指对精神病患者提供的护理。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涵盖密切巡视患者、观察患者情绪变化、并对患者提供适宜的照顾、采取预防意外事件发生的措施、做好健康教育指导等所需的人力资源和基本物质资源消耗。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不与精神科监护同时收取。</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ACCD0001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严密隔离护理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指对甲类、乙类传染病患者在严密隔离条件下提供的护理。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涵盖穿戴个人防护用品、标识、患者排出物消毒处理、生活垃圾及医疗垃圾处理、消毒及细菌采样等所需的人力资源和基本物质资源消耗。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严密隔离护理条件参照《全国医疗服务项目技术规范（2023年版）》。</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ACCD0001JSX01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严密隔离护理-儿童（加收）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ACCE0001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保护性隔离护理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指对抵抗力低、极易感染患者在保护性隔离条件下的护理。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涵盖观察病情及生命体征、评估、评定、防护用品、消毒清洁及细菌采样等所需的人力资源和基本物质资源消耗。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保护性隔离护理条件参照《全国医疗服务项目技术规范（2023年版）》。</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ACCE0001JSX01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保护性隔离护理-儿童（加收）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ACCF0001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指对从胎儿娩出、脐带结扎后至28天的婴儿进行的相关护理。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喂养、更换尿布、臀部护理、脐部残端护理、称体重、观察皮肤、洗浴、抚触、更换衣物被服、肛管排气、口腔护理、皮肤护理、会阴护理、肛周护理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不与口腔护理、会阴护理、肛周护理和肛管排气同时收取。不与分级护理同时收取。</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ACCG0001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早产儿护理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指对出生时胎龄小于37周，纠正胎龄至44周的早产儿进行的相关护理。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不与口腔护理、会阴护理、肛周护理和肛管排气同时收取。不与分级护理、重症监护护理同时收取。</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ACB</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专项护理</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761"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80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i w:val="0"/>
                <w:color w:val="auto"/>
                <w:sz w:val="21"/>
                <w:szCs w:val="21"/>
                <w:u w:val="none"/>
              </w:rPr>
            </w:pP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9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ACBH0002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口腔护理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指为高热、鼻饲、不能经口进食、人工气道等患者进行的口腔清洁护理。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涵盖评估病情、核对信息、检查口腔、按口腔护理操作流程清洁口腔、观察生命体征、给予健康宣教及心理护理等所需的人力资源和基本物质资源消耗。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1.已包含在特级护理、Ⅰ级护理及重症监护护理价格构成中，不得重复收取此项收费；在为患者提供Ⅱ级护理、Ⅲ级护理，且同时提供该项专项护理的，可按“次”收费。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2.每日最高收费不超过13元。</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ACBE0003</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会阴护理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指为泌尿生殖系统感染、大小便失禁、会阴部皮肤破损、留置导尿、产后及各种会阴部术后的患者进行的会阴清洁护理。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涵盖评估病情、核对信息、排空膀胱、擦洗或冲洗会阴、尿管，处理用物，给予做好健康教育及心理护理等所需的人力资源和基本物质资源消耗。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1.已包含在特级护理、Ⅰ级护理及重症监护护理价格构成中，不得重复收取此项收费；在为患者提供Ⅱ级护理、Ⅲ级护理，且同时提供该项专项护理的，可按“次”收费。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2.每日最高收费不超过13元。</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ACBM0002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肛周护理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指为肛周脓肿、大便失禁等患者进行的肛周护理。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涵盖核对信息、准备、观察肛周皮肤黏膜、清洁，涂药或湿敷等所需的人力资源和基本物质资源消耗。</w:t>
            </w:r>
          </w:p>
        </w:tc>
        <w:tc>
          <w:tcPr>
            <w:tcW w:w="76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1.已包含在特级护理、Ⅰ级护理及重症监护护理价格构成中，不得重复收取此项收费；在为患者提供Ⅱ级护理、Ⅲ级护理，且同时提供该项专项护理的，可按“次”收费。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2.每日最高收费不超过13元。</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ACBG0003</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置管护理</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（深静脉/动脉）</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对深静脉置管/动脉置管管路实施维护，使管路维持正常功能。</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涵盖导管状态评估、管路疏通、封管，必要时更换输液接头等所需的人力资源和基本物质资源消耗。不含创口换药。</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1.深静脉置管包括中心静脉导管(CVC)、经外周静脉置入的中心静脉导管(PICC)、输液港(PORT）等。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2.外周静脉置管护理含在注射费价格构成中，不单独计费。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3.每日最高收费不超过24元。</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ACBJ0006</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气管插管护理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对气管插管实施维护，维持正常通气功能。</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strike/>
                <w:color w:val="auto"/>
                <w:sz w:val="21"/>
                <w:szCs w:val="21"/>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ACBJ0007</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气管切开护理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对气管切开套管（含经皮气切插管）实施维护，维持正常通气功能。</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涵盖观察气切周围皮肤、套管取出清洁并消毒或更换套管、更换敷料及固定物，必要时行气道给药等所需的人力资源和基本物质资源消耗。不含吸痰。</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75</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更换套管是置管的延伸服务，按照医生医嘱更换套管，单独收取耗材费用。</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ACBK0002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引流管护理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对各种引流管路（含尿管、胃肠减压管路等）实施维护，保持引流通畅。</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涵盖观察引流液性状及记量、检查引流管位置并固定、冲洗、更换引流袋等所需的人力资源和基本物质资源消耗。不含创口换药。</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strike/>
                <w:color w:val="auto"/>
                <w:sz w:val="21"/>
                <w:szCs w:val="21"/>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ACBK0002JSX01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引流管护理-闭式引流护理(减收)</w:t>
            </w:r>
          </w:p>
        </w:tc>
        <w:tc>
          <w:tcPr>
            <w:tcW w:w="218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strike/>
                <w:color w:val="auto"/>
                <w:sz w:val="21"/>
                <w:szCs w:val="21"/>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ACBR0002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肠内营养输注护理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指经鼻胃/肠管、造瘘等途径灌注药物或要素饮食的患者的护理。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涵盖患者肠内营养期间，评估病情、固定/冲洗管路、观察管路和患者腹部体征及排泄情况、心理护理、健康教育等所需的人力资源和基本物质资源消耗。不含创口换药。</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ACBL0002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造口/造瘘护理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指对造口/造瘘实施维护，维持患者排泄通畅的护理。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涵盖造口评估、观察排泄物/分泌物性状、清洁造口及周围皮肤、定期更换造口装置、心理护理、造口/造瘘护理健康指导等所需的人力资源和基本物质资源消耗。不含创口换药。</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每造口/每造瘘·日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每日最高收费不超过36元。</w:t>
            </w:r>
          </w:p>
        </w:tc>
        <w:tc>
          <w:tcPr>
            <w:tcW w:w="8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甲类。按诊疗需要，可开具不超过4周的造口底盘、造口袋。</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甲类。按诊疗需要，可开具不超过4周的造口底盘、造口袋。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58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ACBN0002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压力性损伤护理</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指对有压力性损伤风险或已出现压力性损伤患者，实施预防或护理。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ACBS0001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免陪照护服务</w:t>
            </w:r>
          </w:p>
        </w:tc>
        <w:tc>
          <w:tcPr>
            <w:tcW w:w="21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指公立医疗机构提供的服务事项，指在没有家属和护工参与的情况下，完全由护士、护理员承担患者全部生活护理。</w:t>
            </w:r>
          </w:p>
        </w:tc>
        <w:tc>
          <w:tcPr>
            <w:tcW w:w="38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涵盖生活照顾等所需的人力资源和基本物质资源消耗。</w:t>
            </w: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1.本项目价格为一对三服务每人每日价格；</w:t>
            </w:r>
            <w:r>
              <w:rPr>
                <w:rStyle w:val="41"/>
                <w:color w:val="auto"/>
                <w:sz w:val="21"/>
                <w:szCs w:val="21"/>
                <w:lang w:val="en-US" w:eastAsia="zh-CN" w:bidi="ar"/>
              </w:rPr>
              <w:br w:type="textWrapping"/>
            </w:r>
            <w:r>
              <w:rPr>
                <w:rStyle w:val="41"/>
                <w:color w:val="auto"/>
                <w:sz w:val="21"/>
                <w:szCs w:val="21"/>
                <w:lang w:val="en-US" w:eastAsia="zh-CN" w:bidi="ar"/>
              </w:rPr>
              <w:t>2.在特级护理、I级护理服务的基础上同时开展免陪照护服务的，可在特级护理、I级护理收费的同时，加收该项目收费；</w:t>
            </w:r>
            <w:r>
              <w:rPr>
                <w:rStyle w:val="41"/>
                <w:color w:val="auto"/>
                <w:sz w:val="21"/>
                <w:szCs w:val="21"/>
                <w:lang w:val="en-US" w:eastAsia="zh-CN" w:bidi="ar"/>
              </w:rPr>
              <w:br w:type="textWrapping"/>
            </w:r>
            <w:r>
              <w:rPr>
                <w:rStyle w:val="41"/>
                <w:color w:val="auto"/>
                <w:sz w:val="21"/>
                <w:szCs w:val="21"/>
                <w:lang w:val="en-US" w:eastAsia="zh-CN" w:bidi="ar"/>
              </w:rPr>
              <w:t>3.患者家庭根据自身需要自行雇佣护理员，通过市场化解决，不属于医疗服务价格项目管理范畴。</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ACBS0001JSX01</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免陪照护服务-一对二服务（加收）</w:t>
            </w:r>
          </w:p>
        </w:tc>
        <w:tc>
          <w:tcPr>
            <w:tcW w:w="2187" w:type="dxa"/>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29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每人每日加收40元。</w:t>
            </w: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6" w:type="dxa"/>
            <w:vMerge w:val="continue"/>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15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ACBS0001JSX02</w:t>
            </w:r>
          </w:p>
        </w:tc>
        <w:tc>
          <w:tcPr>
            <w:tcW w:w="1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免陪照护服务-一对一服务（加收）</w:t>
            </w:r>
          </w:p>
        </w:tc>
        <w:tc>
          <w:tcPr>
            <w:tcW w:w="2187" w:type="dxa"/>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3813" w:type="dxa"/>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color w:val="auto"/>
                <w:sz w:val="21"/>
                <w:szCs w:val="21"/>
                <w:u w:val="none"/>
              </w:rPr>
            </w:pPr>
          </w:p>
        </w:tc>
        <w:tc>
          <w:tcPr>
            <w:tcW w:w="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80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140</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auto"/>
                <w:sz w:val="21"/>
                <w:szCs w:val="21"/>
                <w:u w:val="none"/>
              </w:rPr>
            </w:pPr>
          </w:p>
        </w:tc>
        <w:tc>
          <w:tcPr>
            <w:tcW w:w="83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90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bl>
    <w:p>
      <w:pPr>
        <w:pStyle w:val="15"/>
        <w:ind w:left="0" w:leftChars="0" w:firstLine="0" w:firstLineChars="0"/>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15"/>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放射检查类医疗服务价格项目规范表</w:t>
      </w:r>
    </w:p>
    <w:tbl>
      <w:tblPr>
        <w:tblStyle w:val="16"/>
        <w:tblW w:w="16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583"/>
        <w:gridCol w:w="1925"/>
        <w:gridCol w:w="1960"/>
        <w:gridCol w:w="2429"/>
        <w:gridCol w:w="846"/>
        <w:gridCol w:w="1047"/>
        <w:gridCol w:w="4135"/>
        <w:gridCol w:w="882"/>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服务产出</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价格构成</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单位</w:t>
            </w:r>
          </w:p>
        </w:tc>
        <w:tc>
          <w:tcPr>
            <w:tcW w:w="1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（元）</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8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医保</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c>
          <w:tcPr>
            <w:tcW w:w="8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工伤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保险</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放射检查</w:t>
            </w:r>
          </w:p>
        </w:tc>
        <w:tc>
          <w:tcPr>
            <w:tcW w:w="10413" w:type="dxa"/>
            <w:gridSpan w:val="5"/>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使用说明：</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 “价格构成”，指项目价格应涵盖的各类资源消耗，用于确定计价单元的边界，不应作为临床技术标准理解，不是实际操作方式、路径、步骤、程序的强制性要求。</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 “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3.“扩展项”，指同一项目下以不同方式提供或在不同场景应用时，只扩展价格项目适用范围、不额外加价的一类子项，子项的价格按主项目执行。</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4.“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非胶片影像存储介质、铅制防护用品、可复用的操作器具、软件（版权、开发、购买）成本等。基本物耗成本计入项目价格，不另行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5. “X线摄影成像”“计算机体层成像（CT）平扫”“计算机体层成像（CT）增强”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6. “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7. “计算机体层（CT）造影成像（血管）”中的“血管”，指颅内动脉、颅内静脉、冠状动脉、肺动脉、胸主动脉、腹主动脉、颈动脉、颈静脉、上肢动脉、下肢动脉、下肢静脉、肺静脉、上腔静脉、下腔静脉、门脉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8. “磁共振（MR）成像（血管）”中的“血管”，指头颅动脉、头颅静脉、肺动脉、颈动脉、颈静脉、胸主动脉、腹主动脉、上肢动脉、下肢动脉、下腔静脉。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9.“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医院实践中按照“能量成像”加收计费的，应以卫生行政主管部门最新版卫生技术规范、临床指南或专家共识中明确表述通过能量CT扫描可获得额外临床价值为前提。</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10.“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11.“薄层扫描”，指通过计算机体层成像（CT）扫描，获取标称层厚&lt;2mm的图像。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12.“放射性核素平面显像（静态）”“放射性核素平面显像（动态）”“放射性核素平面显像（全身）”中所指设备包括但不限于通过γ照相机、SPECT、SPECT/CT等单光子发射的显像设备完成的平面静态显像。本项目中已包含3个及以内的体位检查，每增加一体位按一定比例或数额加收。</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13.“放射性核素平面显像（静态）”“放射性核素平面显像（动态）”、“正电子发射计算机断层显像/计算机断层扫描（PET/CT）”和“正电子发射计算机断层显像/磁共振成像（PET/MRI）”中的“部位”，指头颅、颈部、胸部、腹部（肝、胆、脾、胰、双肾、胃部、肠道）、盆腔、泌尿系、四肢、其他未列部位。</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14.“正电子发射计算机断层显像/计算机断层扫描（PET/CT）”和“正电子发射计算机断层显像/磁共振成像（PET/MRI）”中的“局部”指扫描长度70CM以内，“躯干”指扫描范围从颅底到大腿中上部，“全身”指扫描范围从头到脚。</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15.“计算机体层（CT）灌注成像”、“磁共振（MR）灌注成像”、“单光子发射断层显像（SPECT）”中的“脏器”，指脑、唾液腺、甲状腺（含甲状旁腺）、食管、肺、心脏、肝脏、胆囊、胰腺、脾脏、肾脏、肾上腺、胃肠道、膀胱输尿管、前列腺、子宫及附件、睾丸。</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16.“对比剂”中的药品类对比剂按零差率销售。</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17.公立医疗机构开展相关放射检查须提供符合要求的“数字影像处理和上传存储服务”并执行现行放射检查项目价格，对于不能提供符合要求的“数字影像处理和上传存储服务”的，执行的相关放射检查项目价格减收5元。</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18.允许公立医疗机构在患者自愿选择基础上，若提供“数字胶片云储存服务”，可不再提供实体胶片。医疗机构在常规提供影像资料后，如需额外提供影像资料，可收取相应费用。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19.核医学相关检查项目均不含放射性药品费用。</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20.“负荷显像”按2次计费，即同时进行静息和负荷检查可分别计费。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21.本指南中涉及“包括……”“……等”的，属于开放型表述，所指对象不仅局限于表述中列明的事项，也包括未列明的同类事项。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22.各类引导类项目拟在临床辅助操作类立项指南中另行立项。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23.医保系统相应功能模块建设完成后，医疗机构应将影像资料上传至本地医保系统。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24.同时检查多个部位/脏器按全身收费的项目，主项目/加收项/扩展项均按全身项目收费。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25.本指南所称的“人工智能辅助诊断”是指应用人工智能技术辅助进行的放射检查诊断，不得与主项目同时收费。</w:t>
            </w:r>
          </w:p>
        </w:tc>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restart"/>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9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0413" w:type="dxa"/>
            <w:gridSpan w:val="5"/>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EA</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X线检查</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04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通过X线摄影（含数字化），实现对患者投照部位的定位、X线成像及分析。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所定价格涵盖摆位、摄影、成像、分析、出具报告、数字影像处理与上传存储（含数字方式）等步骤所需的人力资源、设备运转成本消耗与基本物质资源消耗。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1.从第二个体位开始按25元/体位加收，同一部位，加收不超过2个体位（项目编码：EABCC002JSX31）；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2.X线透视检查按5元/部位收取，不做体位加收。（项目编码：EABCC002JSX41）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X线摄影成像-床旁X线摄影（加收）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“床旁X线摄影”指患者因病情无法前往检查科室，需在病床旁完成X线摄影。在同一次检查中，无论多少部位仅加收一次。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X线摄影成像-动态X线摄影（加收）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“动态X线摄影”指在普通数字X射线成像技术的基础上，通过低剂量连续或脉冲曝光，探测器同步采集数字信号，所得图像经处理后获取人体组织、器官或系统的定量或半定量功能性信息和动态图像的成像技术。</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X线摄影成像-影像拼接成像（加收）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“影像拼接成像”指双下肢、脊柱全长等的X线摄影成像。</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EABCC002KZX11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X线摄影成像-口腔曲面体层成像（扩展）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部位·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EABHS004</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X线摄影成像（牙片）</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通过X线摄影（含数字化），实现对范围牙齿的X线成像及分析。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所定价格涵盖摆位、摄影、成像、分析、出具报告、数字影像处理与上传存储（含数字方式）等步骤所需的人力资源、设备运转成本消耗与基本物质资源消耗。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部位的定义为：切牙、前磨牙和磨牙，以两个牙位为一个部位；尖牙，以单牙位为一个部位。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EABHS004KZX01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X线摄影成像（牙片）-人工智能辅助诊断（扩展）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EABYA002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X线摄影成像（乳腺）</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通过X线摄影（含数字化），实现患者的乳腺X线成像及分析。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所定价格涵盖摆位、摄影、成像、分析、出具报告、数字影像处理与上传存储（含数字方式）等步骤所需的人力资源、设备运转成本消耗与基本物质资源消耗。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单侧</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多次曝光按一次收费。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EABYA002KZX01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X线摄影成像（乳腺）-人工智能辅助诊断（扩展）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单侧</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EABEE001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X线造影成像</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通过X线摄影，对经口服、注射或灌肠方式引入对比剂后的消化道、鼻窦、泪道等各类腔道的形态及功能进行成像及分析（不含穿刺/插管）。</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EABEE001JSX01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X线造影成像-全消化道造影（加收）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EABEE001KZX01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X线造影成像-人工智能辅助诊断（扩展）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EABEE001KZX11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X线造影成像-泪道造影（扩展）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EABEE001KZX12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X线造影成像-T管造影（扩展）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EB</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X线计算机体层检查</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通过计算机体层成像（CT）平扫，实现患者检查部位的成像及分析。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所定价格涵盖摆位、扫描成像、分析、出具报告、数字影像处理与上传存储（含数字方式）等步骤所需的人力资源、设备运转成本消耗与基本物质资源消耗。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133</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同时检查超过三个部位的，按三个部位收费，第四个部位及以上不再计费。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计算机体层成像（CT）平扫-能量成像（加收）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在同一次检查中，无论多少部位仅加收一次。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计算机体层成像（CT）平扫-薄层扫描（加收）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在同一次检查中，无论多少部位仅加收一次。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计算机体层成像（CT）平扫-冠脉钙化积分（加收）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包含心电门控费用。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计算机体层成像（CT）平扫-人工智能辅助诊断（扩展）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133</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计算机体层成像（CT）平扫-口腔颌面锥形束CT（CBCT）（扩展）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133</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计算机体层成像（CT）增强</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通过计算机体层成像（CT）增强扫描，对使用对比剂后的检查部位进行成像及分析。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所定价格涵盖摆位、对比剂注射、扫描成像、分析、出具报告、数字影像处理与上传存储（含数字方式）等步骤所需的人力资源和基本物质资源消耗。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1.同一部位CT平扫和CT增强不能同时收费。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2.同时检查超过三个部位的，按三个部位收费，第四个部位及以上不再计费。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计算机体层成像（CT）增强-能量成像（加收）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在同一次检查中，无论多少部位仅加收一次。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计算机体层成像（CT）增强-薄层扫描（加收）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在同一次检查中，无论多少部位仅加收一次。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计算机体层成像（CT）增强-人工智能辅助诊断（扩展）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计算机体层成像（CT）增强-延迟显像（扩展）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203</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EBCKU003</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计算机体层（CT）造影成像（血管）</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通过CT增强扫描，对使用对比剂后的血管进行成像及分析。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所定价格涵盖摆位、对比剂注射、扫描成像、分析、出具报告、数字影像处理与上传存储（含数字方式）等步骤所需的人力资源和基本物质资源消耗。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276</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同时检查超过三血管的，按三血管收费，第四血管及以上不再计费。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EBCKU003JSX01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计算机体层（CT）造影成像（血管）-能量成像（加收）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在同一次检查中，无论多少血管仅加收一次。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EBCKU003KZX01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计算机体层（CT）造影成像（血管）-人工智能辅助诊断（扩展）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276</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EBCZX002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计算机体层（CT）灌注成像</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通过连续CT扫描，对使用对比剂后局部组织血流进行灌注成像及分析。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所定价格涵盖摆位、对比剂注射、连续扫描成像、分析、出具报告、数字影像处理与上传存储（含数字方式）等步骤所需的人力资源和基本物质资源消耗。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脏器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同时检查超过三个脏器的，按三个脏器收费，第四个脏器及以上不再计费。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EBCZX002JSX01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计算机体层（CT）灌注成像-心电门控（加收）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EBCZX002KZX01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计算机体层（CT）灌注成像-人工智能辅助诊断（扩展）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脏器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EC</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磁共振检查</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通过磁共振平扫，实现患者检查部位的成像及分析。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所定价格涵盖摆位、扫描成像、分析、出具报告、数字影像处理与上传存储（含数字方式）等步骤所需的人力资源、设备运转成本消耗与基本物质资源消耗。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同时检查超过三个部位的，按三个部位收费，第四个部位及以上不再计费。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磁共振（MR）平扫-特殊方式成像（加收）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无论多少部位，使用同一成像方式仅加收一次；不同成像方式可累计收费，最多加收200元/次。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磁共振（MR）平扫-复杂成像（加收）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复杂成像指对心脏、胎儿进行磁共振平扫成像。</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磁共振（MR）平扫-呼吸门控（加收）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通过磁共振增强扫描，对使用对比剂后的检查部位进行成像及分析。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555</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1.同一部位平扫与增强不能同时收费。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2.同时检查超过三个部位的，按三个部位收费，第四个部位及以上不再计费。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磁共振（MR）增强-特殊方式成像（加收）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无论多少部位，使用同一成像方式仅加收一次；不同成像方式可累计收费，最多加收200元/次。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磁共振（MR）增强-心脏（加收）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磁共振（MR）增强-呼吸门控（加收）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555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ECABJ002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磁共振（MR）平扫成像（血管）</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通过磁共振平扫，对血管进行成像及分析。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所定价格涵盖摆位、扫描成像、分析、出具报告、数字影像处理与上传存储（含数字方式）等步骤所需的人力资源、设备运转成本消耗与基本物质资源消耗。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同时检查超过三血管的，按三血管收费，第四血管及以上不再计费。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ECABJ002JSX01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磁共振（MR）平扫成像（血管）-高分辨率血管壁成像（加收）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ECABJ002JSX11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磁共振（MR）平扫成像（血管）-呼吸门控（加收）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ECABJ002KZX01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磁共振（MR）平扫成像（血管）-人工智能辅助诊断（扩展）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通过磁共振扫描，注射对比剂后对血管进行成像及分析。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478</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1.同一血管平扫与增强不能同时收费。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2.同时检查超过三血管的，按三血管收费，第四血管及以上不再计费。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磁共振（MR）增强成像（血管）-高分辨率血管壁成像（加收）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磁共振（MR）增强成像（血管）-呼吸门控（加收）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磁共振（MR）增强成像（血管）-冠状动脉（加收）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478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ECCZX009</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磁共振（MR）灌注成像</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通过磁共振增强扫描，对非使用对比剂技术或使用对比剂后的检查部位进行灌注成像及分析。</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脏器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645</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1.“非使用对比剂技术”包括但不限于使用氢质子成像、磁共振动态增强成像、氙磁共振成像技术、使用自旋标记技术等。</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2.同时检查超过三个脏器的，按三个脏器收费，第四个脏器及以上不再计费。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ECCZX009JSX01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磁共振（MR）灌注成像-呼吸门控（加收）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ECCZX009KZX01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磁共振（MR）灌注成像-人工智能辅助诊断（扩展）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脏器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645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ECCZX009KZX11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磁共振（MR）灌注成像-磁共振（MR）动态增强（扩展）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脏器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645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核医学诊断</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826"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放射性核素平面显像（静态）</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通过采集体内放射性静态分布图像，提供组织器官的功能信息。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459</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1.同时检查两个及以上部位按全身收费。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2.本项目中已包含三个及以内体位的检查。</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EEABB002JSX01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放射性核素平面显像（静态）-增加体位（加收）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strike/>
                <w:color w:val="auto"/>
                <w:sz w:val="21"/>
                <w:szCs w:val="21"/>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EEABB002JSX11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放射性核素平面显像（静态）-延迟显像（加收）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放射性核素平面显像（静态）-人工智能辅助诊断（扩展）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459</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EEABB003</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放射性核素平面显像（动态）</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通过采集体内放射性动态分布图像，提供组织器官的功能信息。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571</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1.同时检查两个及以上部位按全身收费。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2.本项目中已包含三个及以内体位的检查。</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EEABB003JSX01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放射性核素平面显像（动态）-增加体位（加收）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strike/>
                <w:color w:val="auto"/>
                <w:sz w:val="21"/>
                <w:szCs w:val="21"/>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EEABB003JSX11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放射性核素平面显像（动态）-延迟显像（加收）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EEABB003KZX01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放射性核素平面显像（动态）-人工智能辅助诊断（扩展）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571</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EEAZY006</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放射性核素平面显像（全身）</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通过采集体内放射性全身分布图像，提供组织器官的功能信息。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585</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本项目中已包含三个及以内体位的检查。</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EEAZY006JSX01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放射性核素平面显像（全身）-增加体位（加收）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strike/>
                <w:color w:val="auto"/>
                <w:sz w:val="21"/>
                <w:szCs w:val="21"/>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EEAZY006JSX11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放射性核素平面显像（全身）-延迟显像（加收）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68</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EEAZY006KZX01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放射性核素平面显像（全身）-人工智能辅助诊断（扩展）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585</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EECBH006</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单光子发射断层显像（SPECT）（部位）</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通过采集体内放射性静态断层分布图像，提供单个脏器或组织功能信息。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“次”指首个脏器，同时检查两个及以上脏器按全身收费。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EECBH006JSX11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单光子发射断层显像（SPECT）（部位）-负荷显像（加收）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EECBH006JSX21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单光子发射断层显像（SPECT）（部位）-单光子发射计算机断层显像/计算机断层扫描（SPECT/CT）图像融合（加收）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strike/>
                <w:color w:val="auto"/>
                <w:sz w:val="21"/>
                <w:szCs w:val="21"/>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EECBH006KZX01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单光子发射断层显像（SPECT）（部位）-人工智能辅助诊断（扩展）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EECBH007</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单光子发射断层显像（SPECT）（全身）</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通过采集体内放射性全身断层分布图像，提供全身脏器或组织功能信息。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670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EECBH007JSX01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单光子发射断层显像（SPECT）（全身）-负荷显像（加收）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EECBH007JSX11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单光子发射断层显像（SPECT）（全身）-单光子发射计算机断层显像/计算机断层扫描（SPECT/CT）图像融合（加收）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450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EECBH007KZX01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单光子发射断层显像(SPECT)(全身)-人工智能辅助诊断（扩展）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670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正电子发射计算机断层显像/计算机断层扫描（PET/CT）（局部）</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通过正电子发射计算机断层显像设备与计算机体层扫描设备进行显像，提供局部组织器官的形态结构、代谢和功能信息。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2500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同时检查两个及以上部位按全身收费。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正电子发射计算机断层显像/计算机断层扫描（PET/CT）（局部）-人工智能辅助诊断（扩展）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EEFBC002KZX11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正电子发射计算机断层显像/计算机断层扫描（PET/CT）（局部）-延迟显像（扩展）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EEFBC003</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正电子发射计算机断层显像/计算机断层扫描（PET/CT）（躯干）</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通过正电子发射计算机断层显像设备与计算机体层扫描设备进行显像，提供躯干组织器官的形态结构、代谢和功能信息。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同时检查躯干和局部按全身收费。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EEFBC003JSX01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正电子发射计算机断层显像/计算机断层扫描（PET/CT）（躯干）-全身（加收）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EEFBC003KZX01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正电子发射计算机断层显像/计算机断层扫描（PET/CT）（躯干）-人工智能辅助诊断（扩展）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EEFBC003KZX11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 </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正电子发射计算机断层显像/计算机断层扫描（PET/CT）（躯干）-延迟显像（扩展）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EEFZZ002</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正电子发射计算机断层显像/磁共振成像（PET/MRI）（局部）</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通过正电子发射计算机断层显像设备与磁共振设备进行显像，提供局部组织器官的形态结构、代谢和功能信息。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同时检查两个及以上部位按全身收费。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EEFZZ002KZX01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正电子发射计算机断层显像/磁共振成像（PET/MRI）（局部）-人工智能辅助诊断（扩展）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EEFZZ003</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正电子发射计算机断层显像/磁共振成像（PET/MRI）（躯干）</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通过正电子发射计算机断层显像设备与磁共振设备进行显像，提供躯干组织器官的形态结构、代谢和功能信息。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7000</w:t>
            </w:r>
          </w:p>
        </w:tc>
        <w:tc>
          <w:tcPr>
            <w:tcW w:w="414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同时检查躯干和局部按全身收费。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EEFZZ003JSX01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正电子发射计算机断层显像/磁共振成像（PET/MRI）（躯干）-全身（加收）</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EEFZZ003KZX01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正电子发射计算机断层显像/磁共振成像（PET/MRI）（躯干）-人工智能辅助诊断（扩展）</w:t>
            </w:r>
          </w:p>
        </w:tc>
        <w:tc>
          <w:tcPr>
            <w:tcW w:w="19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24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部位</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7000</w:t>
            </w:r>
          </w:p>
        </w:tc>
        <w:tc>
          <w:tcPr>
            <w:tcW w:w="414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EEGDC004</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甲状腺摄碘131试验</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通过甲状腺摄取碘131试验，动态评估甲状腺对碘的吸收功能，提供甲状腺功能状况的信息。</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所定价格涵盖放射性药品给药、标准源制备、多点测量、计数、计算甲状腺摄碘率、数据存储、出具报告等步骤所需的人力资源与基本物质资源消耗。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EEGDC005</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尿碘131排泄试验</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通过测量尿液中排泄的碘131量，实现对体内碘含量情况的评估。</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所定价格涵盖放射性药品给药、收集尿液、标准源制备、测量、数据分析与计算、出具报告等步骤所需的人力资源与基本物质资源消耗。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EEGND004</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核素标记测定</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83</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EEGRB005</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肾图</w:t>
            </w:r>
          </w:p>
        </w:tc>
        <w:tc>
          <w:tcPr>
            <w:tcW w:w="19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通过核素肾功能扫描，测量肾脏滤过率、排泄功能及血流情况，实现对肾脏功能的综合评估。</w:t>
            </w:r>
          </w:p>
        </w:tc>
        <w:tc>
          <w:tcPr>
            <w:tcW w:w="24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所定价格涵盖放射性药品注射或口服给药、摆位、图像采集、出具报告等步骤所需的人力资源与基本物质资源消耗。</w:t>
            </w: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EEGRB005JSX01</w:t>
            </w:r>
          </w:p>
        </w:tc>
        <w:tc>
          <w:tcPr>
            <w:tcW w:w="19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肾图-干预肾图（加收）</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8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82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bl>
    <w:p>
      <w:pPr>
        <w:pStyle w:val="15"/>
        <w:ind w:left="0" w:leftChars="0" w:firstLine="0" w:firstLineChars="0"/>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rPr>
          <w:rFonts w:hint="eastAsia" w:ascii="仿宋_GB2312" w:hAnsi="仿宋_GB2312" w:eastAsia="仿宋_GB2312" w:cs="仿宋_GB2312"/>
          <w:color w:val="auto"/>
          <w:sz w:val="32"/>
          <w:szCs w:val="32"/>
          <w:lang w:val="en-US" w:eastAsia="zh-CN"/>
        </w:rPr>
      </w:pPr>
    </w:p>
    <w:p>
      <w:pPr>
        <w:pStyle w:val="15"/>
        <w:ind w:left="0" w:leftChars="0" w:firstLine="0" w:firstLineChars="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医疗服务价格项目调整表</w:t>
      </w:r>
    </w:p>
    <w:tbl>
      <w:tblPr>
        <w:tblStyle w:val="16"/>
        <w:tblW w:w="15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
        <w:gridCol w:w="1194"/>
        <w:gridCol w:w="1155"/>
        <w:gridCol w:w="3577"/>
        <w:gridCol w:w="1250"/>
        <w:gridCol w:w="774"/>
        <w:gridCol w:w="1410"/>
        <w:gridCol w:w="1020"/>
        <w:gridCol w:w="1527"/>
        <w:gridCol w:w="1953"/>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项目内涵</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除外内容</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计价单位</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价格（元）</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备注</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医保类别</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工伤保险类别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AAAC0001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门/急诊留观诊察费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核实就诊者信息，在门/急诊留观室内，医师根据病情需求随时巡视患者，观察患者病情及生命体征变化，向患者或家属告知，准确记录并提出相应的治疗方案，及时与患者家属交待病情。必要时进行抢救工作。</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同一日内发生门诊和急诊留观的，只能收取一个留观诊察费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门诊10元，急诊20元。留观超过24小时后，第二日起按照相应医院等级住院医事服务费收取。</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ABGD0001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肠内营养灌注</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评估患者病情及管路情况，核对医嘱及患者信息，配制营养液或药物等，通过重力或人工推注（含鼻饲），经不同管路途径，完成胃肠内药物或要素饮食的灌注。</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营养泵管/重力管，营养袋</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AABF0001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门/急诊留观床位费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办理留观手续，建立观察病历，密切观察病情变化，按时准确完成治疗。配备病床、床头柜、 座椅(或木凳)、床垫、棉褥、棉被(或毯)、枕头、床单、热水瓶(或器)、废品袋(或篓)等。含医用垃圾、污水处理。</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留观占床超过24小时，且符合病房条件和管理标准的，第二日起按照普通床位费收取。达不到门/急诊留观床位费项目内涵要求的，按50%收取，留观占床超过24小时，第二日起按门/急诊留观床位费收取。按占床不足24小时不得收取病房取暖费、病房空调费和相关护理费用。传染病医院或传染病区每床日加收不超过30%。</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FKA05709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无创血压监测</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气袖均匀紧贴皮肤缠于上臂，以无创心电监护系统按设定间期自动测量血压。</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一次性血压袖带</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FKA05710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无创指脉血氧饱和度监测</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用光电或红外传感器与患者的手指连接，利用床旁监测仪自动连续测量。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一次性血氧探头</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小时</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ABNA0001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院前危急重症抢救</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院前医务人员对危重急症患者（由于各种原因造成危及生命、不采取抢救措施难以缓解的疾病，如心脏骤停、休克、昏迷、急性呼吸衰竭、急性心衰、多发严重创伤等）提供现场诊察、防护、救治及途中监护的医疗技术劳务性服务。</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包含现场诊察、防护、途中护理和人员监护费用。现场实施的其他检查、治疗、检验等项目及药品、血液费用按相关规定另收。每患者只能计收一次抢救费。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80</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AZAA0001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救护车使用费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指接送患者车辆使用费。含急救车折旧费及运营交通往返相关管理费、消毒费、油耗、司机劳务费等。不含院前急救、抢救。</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公里</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价里程按照接到患者起至目的地的实际行驶公里计算，无计价器不得收费。同时接送2名及以上患者，按患者人数平均分担救护车使用费。患者及其家属因自身原因拒绝使用已到达救护现场的救护车的，收取救护车使用费50元。</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3公里以内（含）70元，3公里以上每公里7元，不足1公里按1公里计算。</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丙类</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甲类。仅限支付工伤发生当日因急救抢救发生的救护车使用费。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AAAN0004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护士上门服务费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指护士由所在医疗机构派出，前往患者指定地点为其提供合法合规的护理服务，记录患者护理处置情况及指导内容并双方签字留存。项目价格涵盖医疗机构派出的护理人员的交通成本、人力资源消耗。不含一般治疗操作。</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自主定价</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限家庭病床。乙类（定价高于或等于50元/次，按50元/次纳入医保报销范围；定价低于50元/次，按照实际价格纳入医保报销范围）。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限家庭病床。甲类（定价高于或等于50元/次，按50元/次纳入工伤报销范围；定价低于50元/次，按照实际价格纳入工伤报销范围）。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AAAN0001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普通医师上门服务费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根据患者需求，医疗机构派出符合规定资质的主治及以下医师，前往患者指定地点为其提供合法合规的医疗服务。项目价格涵盖医疗机构派出的医务人员的交通成本、人力资源消耗。</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自主定价</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限家庭病床。乙类（定价高于或等于60元/次，按60元/次纳入医保报销范围；定价低于60元/次，按照实际价格纳入医保报销范围）。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限家庭病床。甲类（定价高于或等于60元/次，按60元/次纳入工伤报销范围；定价低于60元/次，按照实际价格纳入工伤报销范围）。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AAAN0002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副主任医师上门服务费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根据患者需求，医疗机构派出符合规定资质的副主任医师，前往患者指定地点为其提供合法合规的医疗服务。项目价格涵盖医疗机构派出的医务人员的交通成本、人力资源消耗。</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自主定价</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限家庭病床。乙类（定价高于或等于70元/次，按70元/次纳入医保报销范围；定价低于70元/次，按照实际价格纳入医保报销范围）。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限家庭病床。甲类（定价高于或等于70元/次，按70元/次纳入工伤报销范围；定价低于70元/次，按照实际价格纳入工伤报销范围）。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AAAN0003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主任医师上门服务费</w:t>
            </w:r>
          </w:p>
        </w:tc>
        <w:tc>
          <w:tcPr>
            <w:tcW w:w="3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根据患者需求，医疗机构派出符合规定资质的主任医师，前往患者指定地点为其提供合法合规的医疗服务。项目价格涵盖医疗机构派出的医务人员的交通成本、人力资源消耗。</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自主定价</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限家庭病床。乙类（定价高于或等于80元/次，按80元/次纳入医保报销范围；定价低于80元/次，按照实际价格纳入医保报销范围）。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限家庭病床。甲类（定价高于或等于80元/次，按80元/次纳入工伤报销范围；定价低于80元/次，按照实际价格纳入工伤报销范围）。</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新增医疗服务价格项目规范表</w:t>
      </w:r>
    </w:p>
    <w:tbl>
      <w:tblPr>
        <w:tblStyle w:val="16"/>
        <w:tblW w:w="15855" w:type="dxa"/>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439"/>
        <w:gridCol w:w="2189"/>
        <w:gridCol w:w="4028"/>
        <w:gridCol w:w="959"/>
        <w:gridCol w:w="2128"/>
        <w:gridCol w:w="145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2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项目内涵</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计价</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21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1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除外内容</w:t>
            </w:r>
          </w:p>
        </w:tc>
        <w:tc>
          <w:tcPr>
            <w:tcW w:w="15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NCDA0000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医学3D建模（神经血管）</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利用医学影像检查等手段获得患者特定部位的真实信息。通过数字技术构建的虚拟3D模型、真实再现颅内血管特定部位的形态，能够满足疾病诊断、手术规划、治疗及塑形设计的需要。涵盖数字化扫描、建模、存储、传输，装置、设计、塑形等步骤的人力资源和基本物资消耗。</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strike/>
                <w:color w:val="auto"/>
                <w:sz w:val="21"/>
                <w:szCs w:val="21"/>
              </w:rPr>
            </w:pPr>
          </w:p>
        </w:tc>
        <w:tc>
          <w:tcPr>
            <w:tcW w:w="1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一次性微导管塑形器</w:t>
            </w:r>
          </w:p>
        </w:tc>
        <w:tc>
          <w:tcPr>
            <w:tcW w:w="1587"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CGAP1100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补体调节蛋白浓度检测</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样本采集、签收、处理，加入试剂，温育，质控，审核结果，录入实验室信息系统或人工登记，发送报告；按规定处理废弃物；接受临床相关咨询。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CGHQ1100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抗药抗体测定</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样本采集，签收，检测，审核结果、录入实验室信息系统或人工登记，发送报告，按规定处理废弃物，接受临床相关咨询。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CGCP1100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单核细胞趋化因子（MCP-1）测定</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样本类型：各种标本。样本采集、签收、处理，加免疫试剂，保温，温育，检测，质控，审核结果，录入实验室信息系统或人工登记，发送报告；按规定处理废弃物；接受临床相关咨询。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strike/>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CEHV2000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循环肿瘤细胞分析诊断</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分子标记物特异性捕获可疑的肿瘤细胞，使用多种分子标记物，对上述标记分子的表达情况进行特征分析，同时结合形态学鉴别循环肿瘤细胞。</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CEHP1100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VAP血脂亚组分检测</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样本采集、签收，校准质控，前处理，制备，离心，检测，获得各亚组分含量，审核结果、录入实验室信息系统或人工登记、发送报告；按规定处理废弃物；接受临床相关咨询。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CGQJ8002</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T细胞抑制性受体检测</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样本采集、签收、处理、在绝对计数管中加入流式单抗、避光染色、溶血、上机检测、分析数据、质控、审核结果、录入实验室信息系统或人工登记，发送报告；按规定处理废弃物；接受临床相关咨询。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CLAZZ900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病原体核酸靶向测序（tNGS）分析</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类型：各种标本。样本采集、签收、处理，核酸提取、建库、多重PCR、上机测序、比对数据库并给出结果、质控，审核结果，录入实验室信息系统或人工登记，发送报告；按规定处理废弃物；接受临床相关咨询。适用于病情危重、疑难复杂感染、不明原因持续发热等。</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同时检测病原体及耐药基因设置封顶收费。</w:t>
            </w:r>
          </w:p>
        </w:tc>
        <w:tc>
          <w:tcPr>
            <w:tcW w:w="1454" w:type="dxa"/>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CLAZZ901</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病原宏基因组测序</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类型：各种标本。样本采集、签收、处理(据标本类型不同进行相应的前处理)，提取微生物总核酸，进行文库构建，对构建好的文库进行高通量测序，生成大量原始序列数据，通过生物信息学分析和注释，识别判断潜在的病原微生物，结合临床表征对检测结果进行验证和解读，发送报告；按规定处理废弃物；接受临床相关咨询。适用于病情危重、疑难复杂感染、不明原因持续发热、新发突发传染病，靶向测序未能明确病原体患者。</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2071"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143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CGNC4000</w:t>
            </w:r>
          </w:p>
        </w:tc>
        <w:tc>
          <w:tcPr>
            <w:tcW w:w="2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诺如病毒抗原测定</w:t>
            </w:r>
          </w:p>
        </w:tc>
        <w:tc>
          <w:tcPr>
            <w:tcW w:w="40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样本采集、签收，样本经提取液提取上清液，加免疫试剂，温育，检测，质控，审核结果，录入实验室信息系统或人工登记，发送报告；按规定处理废弃物；接受临床相关咨询。</w:t>
            </w:r>
          </w:p>
        </w:tc>
        <w:tc>
          <w:tcPr>
            <w:tcW w:w="9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21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45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58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strike/>
                <w:color w:val="auto"/>
                <w:sz w:val="21"/>
                <w:szCs w:val="21"/>
              </w:rPr>
            </w:pPr>
          </w:p>
        </w:tc>
      </w:tr>
    </w:tbl>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新增医疗服务价格项目转归统一定价表</w:t>
      </w:r>
    </w:p>
    <w:tbl>
      <w:tblPr>
        <w:tblStyle w:val="16"/>
        <w:tblW w:w="15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
        <w:gridCol w:w="1110"/>
        <w:gridCol w:w="2024"/>
        <w:gridCol w:w="3666"/>
        <w:gridCol w:w="810"/>
        <w:gridCol w:w="1169"/>
        <w:gridCol w:w="1664"/>
        <w:gridCol w:w="1350"/>
        <w:gridCol w:w="1124"/>
        <w:gridCol w:w="1379"/>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blHeader/>
          <w:jc w:val="center"/>
        </w:trPr>
        <w:tc>
          <w:tcPr>
            <w:tcW w:w="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366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项目内涵</w:t>
            </w:r>
          </w:p>
        </w:tc>
        <w:tc>
          <w:tcPr>
            <w:tcW w:w="81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单位</w:t>
            </w:r>
          </w:p>
        </w:tc>
        <w:tc>
          <w:tcPr>
            <w:tcW w:w="116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计价说明</w:t>
            </w:r>
          </w:p>
        </w:tc>
        <w:tc>
          <w:tcPr>
            <w:tcW w:w="166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除外内容</w:t>
            </w:r>
          </w:p>
        </w:tc>
        <w:tc>
          <w:tcPr>
            <w:tcW w:w="135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项目价格</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（元）</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备注</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医保类别</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工伤保险类别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jc w:val="center"/>
        </w:trPr>
        <w:tc>
          <w:tcPr>
            <w:tcW w:w="50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PBEA1803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高位肛漏 /肛痈虚实挂线术</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通过分离、抽吸、探查，造口、多点虚实挂线、引流、止血等步骤，实现治疗肛漏 /肛痈目的。术后不再行紧线术。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止血材料、可吸收性缝线</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1710</w:t>
            </w:r>
          </w:p>
        </w:tc>
        <w:tc>
          <w:tcPr>
            <w:tcW w:w="11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CADG1000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抗Xa活性测定</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样本采集、签收、处理、定标和质控、检测样本、审核结果、录入实验室信息系统、发送报告、按规定处理废弃物、接受临床相关咨询。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CESV1000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壳多糖酶3样蛋白1检测</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样本采集、签收、处理，加免疫试剂，温育，检测，质控，审核结果，录入实验室信息系统或人工登记，发送报告；按规定处理废弃物；接受临床相关咨询。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300</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CEZN1000</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可溶性生长刺激表达基因2蛋白测定</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样本采集、签收、处理，定标和质控，加入免疫试剂，测定反应信号， 通过标准曲线计算ST2 浓度，录入实验室信息系统或人工登记，审核报告，发送报告；按规定处理废弃物；接受临床相关咨询。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color w:val="auto"/>
                <w:sz w:val="21"/>
                <w:szCs w:val="21"/>
                <w:u w:val="none"/>
              </w:rPr>
            </w:pP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c>
          <w:tcPr>
            <w:tcW w:w="11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宋体" w:hAnsi="宋体" w:eastAsia="宋体" w:cs="宋体"/>
                <w:i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jc w:val="center"/>
        </w:trPr>
        <w:tc>
          <w:tcPr>
            <w:tcW w:w="5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KZZ00004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缺血适应治疗</w:t>
            </w:r>
          </w:p>
        </w:tc>
        <w:tc>
          <w:tcPr>
            <w:tcW w:w="3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对缺血性血管病患者肢体给予重复、短暂的加压和释放，引起肢体局部数次缺血和再灌注。经过训练的医护人员利用缺血预适应训练仪专用袖带敷于患者上臂，给予200mmhg压力，阻断上肢血流5分钟，释放压力，恢复血流5分钟，如此反复进行5个循环后完成治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次</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每位患者日费用不超过60元</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1124"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乙类。限急性缺血性心脑血管疾病。</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甲类。限急性缺血性心脑血管疾病。</w:t>
            </w:r>
          </w:p>
        </w:tc>
      </w:tr>
    </w:tbl>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黑体" w:hAnsi="黑体" w:eastAsia="黑体" w:cs="黑体"/>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相应医疗服务项目中部分可收费一次性使用医用耗材清单及</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基本医疗保险和工伤保险报销政策</w:t>
      </w:r>
    </w:p>
    <w:tbl>
      <w:tblPr>
        <w:tblStyle w:val="16"/>
        <w:tblW w:w="148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3"/>
        <w:gridCol w:w="3533"/>
        <w:gridCol w:w="5922"/>
        <w:gridCol w:w="1911"/>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blHeader/>
          <w:jc w:val="center"/>
        </w:trPr>
        <w:tc>
          <w:tcPr>
            <w:tcW w:w="1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3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可收费耗材名称</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是否纳入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医保报销范围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 xml:space="preserve"> 是否纳入工伤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报销范围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8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一、中医针法类立项指南规范项目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常规针法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电热针</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特殊针具针法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电热针</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电热针</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PBCD0001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穴位埋入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特殊缝线</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8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二、护理类立项指南规范项目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ACBG0003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置管护理（深静脉/动脉）</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接头，肝素帽</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ACBJ0006</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气管插管护理</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吸痰管，痰液收集器，呼吸过滤器</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ACBJ0007</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气管切开护理</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吸痰管，痰液收集器，呼吸过滤器，气管切开套管</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ACBK0002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引流管护理</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引流装置，导尿管（包），尿袋，胃、肠管</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ACBL0002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造口/造瘘护理</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造口底盘，造口袋</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ACBN0002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压力性损伤护理</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功能性敷料</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8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三、放射检查类立项指南规范项目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放射检查类项目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胶片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是（限医保报销范围内的医疗服务项目）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是（限工伤报销范围内的医疗服务项目）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计算机体层成像（CT）平扫</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计算机体层成像（CT）增强</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计算机体层（CT）造影成像（血管）</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EBCZX002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计算机体层（CT）灌注成像</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磁共振（MR）平扫</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高压注射针筒/管路，留置针、电极片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磁共振（MR）增强成像（血管）</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高压注射针筒/管路，留置针</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ECCZX009</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磁共振（MR）灌注成像</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高压注射针筒/管路，留置针</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放射性核素平面显像（静态）</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放射性核素平面显像（动态）</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EEAZY006</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放射性核素平面显像（全身）</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EECBH006</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单光子发射断层显像（SPECT）（部位）</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EECBH007</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单光子发射断层显像（SPECT）（全身）</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正电子发射计算机断层显像/计算机断层扫描（PET/CT）（局部）</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正电子发射计算机断层显像/计算机断层扫描（PET/CT）（躯干）</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一次性给药管路、电极片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EEFZZ002</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正电子发射计算机断层显像/磁共振成像（PET/MRI）（局部）</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正电子发射计算机断层显像/磁共振成像（PET/MRI）（躯干）</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一次性给药管路</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8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四、附件4中动态调整项目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ABGD0001</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肠内营养灌注</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营养泵管/重力管，营养袋</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FKA05709</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无创血压监测</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一次性血压袖带</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FKA05710</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无创指脉血氧饱和度监测</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一次性血氧探头</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485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五、附件6中新增医疗服务价格项目转归统一定价项目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PBEA1803</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高位肛漏 /肛痈虚实挂线术</w:t>
            </w:r>
          </w:p>
        </w:tc>
        <w:tc>
          <w:tcPr>
            <w:tcW w:w="5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止血材料、可吸收性缝线</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4854" w:type="dxa"/>
            <w:gridSpan w:val="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清单内耗材按照实际采购价格零差率销售；立项指南规范项目的加收项、扩展项的可收费一次性使用医用耗材政策参照主项目执行。</w:t>
            </w:r>
          </w:p>
        </w:tc>
      </w:tr>
    </w:tbl>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center"/>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sectPr>
          <w:footerReference r:id="rId3" w:type="default"/>
          <w:footerReference r:id="rId4" w:type="even"/>
          <w:pgSz w:w="16838" w:h="11906" w:orient="landscape"/>
          <w:pgMar w:top="1531" w:right="2098" w:bottom="1531" w:left="1985" w:header="851" w:footer="992" w:gutter="0"/>
          <w:pgNumType w:fmt="numberInDash"/>
          <w:cols w:space="720" w:num="1"/>
          <w:docGrid w:type="lines" w:linePitch="289"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附件8</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废止项目表</w:t>
      </w:r>
    </w:p>
    <w:tbl>
      <w:tblPr>
        <w:tblStyle w:val="16"/>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95"/>
        <w:gridCol w:w="6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jc w:val="center"/>
        </w:trPr>
        <w:tc>
          <w:tcPr>
            <w:tcW w:w="3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项目编码</w:t>
            </w:r>
          </w:p>
        </w:tc>
        <w:tc>
          <w:tcPr>
            <w:tcW w:w="6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PBCA0101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普通针刺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PBCA2301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PBCA0801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口针治疗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PBCA0501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面针治疗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PBCA0201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PBCA0701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鼻腔针刺治疗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腹针治疗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PBCA0601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PBCA1201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腕踝针治疗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PBCA0901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舌针治疗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PBCA2501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普通电针治疗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PBCA2504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电热针灸治疗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PBCA2503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电火针治疗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PBCA2502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电冷针灸治疗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PBCD0602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电滚针治疗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PBCA1101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PBCA0301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PBCA0104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针刺运动治疗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PBCA1701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火针治疗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PBCA1501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芒针治疗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PBCA1801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锋钩针治疗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PBCA1901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镵针治疗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PBCD0501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浮针治疗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PBCA1601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梅花针治疗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PBCA0103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特殊手法针刺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PBCD1303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飞腾八法开穴法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PBCD1101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针刺麻醉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PBCD1302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灵龟八法开穴法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PBCD1301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子午流注开穴法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PBCA0102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特殊穴位针刺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PBCA1401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夹脊针治疗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PBCA0401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眼针治疗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PBCA1301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PBCD0901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激光针治疗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PBCA2505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模拟针刺手法电针治疗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PBCA2401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微波针治疗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PBCA2101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圆针治疗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杵针治疗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PBCD0701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PBCD0601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普通滚针治疗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PBCA2201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蜂针治疗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PBCD0801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皮内针治疗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PBCD0201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穴位埋线治疗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PBCD0301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穴位注射治疗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PBEA2001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肛周药物注射封闭术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PBEA2002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肛周穴位药物注射封闭术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PBCD1401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耳穴压丸治疗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w0207010019</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电子元针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w0207030001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椎孔旁封闭（药费及一次性注射器另收）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w0207030002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椎肩关节封闭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w0207030003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骶管封闭+药物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w0207030004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梨状肌封闭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w0207030005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臀上皮神经封闭（单）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w0207010026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耳穴铍针疗法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w0201000090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保留闭式引流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ACAA0001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Ⅲ级护理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ACAB0001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Ⅱ级护理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ACAC0001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Ⅰ级护理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ACAD0001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ACBA0001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ACBB0001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早产儿护理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ACBC0001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精神病人护理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ACBD0002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严密隔离护理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ACBD0003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保护性隔离护理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ACBG0001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动脉置管护理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ACBG0002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静脉置管护理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ACBH0001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口腔护理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气管切开护理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气管切开套管更换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ACBJ0003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气管插管护理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ACBK0001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引流管护理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ACBL0001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造口护理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ACBM0001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肛周护理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ACBN0001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压疮护理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ACBF0001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新生儿监测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ABZG0001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引流管更换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ABPA0001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急诊室重症监护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ABPB0001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重症监护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ABZE0001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会阴擦洗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ABHA0002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导尿管留置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ABGA0001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胃肠减压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EAABP001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头部X线透视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EAAHY001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颈部X线透视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腹部X线透视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EAAQU001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盆部X线透视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EAAW6001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四肢X线透视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EAAZZ001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床旁透视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EAB</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9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章节说明：</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1.本章节胶片费另收。</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2.除口腔曲面体层摄影和数字化牙片，使用数字化摄影（指DR、CR，含数据采集、存贮、图像显示、曝光、拍片和使用滤线器，不含胶片）按70元/次计收。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视神经孔X线摄影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EABCN001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舌下神经孔X线摄影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EABEB001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眼眶X线摄影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EABFJ001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乳突X线摄影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EABFK001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内听道X线摄影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EABGB001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鼻骨侧位X线摄影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EABGF001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副鼻窦X线摄影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EABGJ001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鼻咽侧位X线摄影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颧弓X线摄影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下颌骨X线摄影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颞颌关节X线摄影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EABHM001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口腔曲面体层摄影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牙片X线一次成像(RVG)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EABHS002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牙片X线摄影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EABHS003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咬合片X线摄影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EABJC001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气管相X线摄影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EABJK001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EABJL001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肋骨X线摄影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EABKA001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心脏X线摄影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腹部X线摄影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EABRA001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腹部尿路X线摄影(KUB)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EABV1001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尾骨X线摄影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茎突X线摄影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胸椎X线摄影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胸腰段X线摄影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EABVT001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肩胛骨X线摄影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肩锁关节X线摄影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肩关节X线摄影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肱骨X线摄影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肘关节X线摄影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EABWM001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尺桡骨X线摄影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EABWT001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手腕关节X线摄影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EABX6001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骨龄相X线摄影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骨盆X线摄影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骶髂关节X线摄影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髋关节X线摄影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股骨X线摄影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膝关节X线摄影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胫腓骨X线摄影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足X线摄影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EABXV001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跟骨X线摄影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EABXZ001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踝关节X线摄影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EABYA001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乳腺X线摄影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EABZZ001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床旁X线摄影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EACBS001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颈椎穿刺脊髓X线造影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EACBS002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腰椎穿刺脊髓X线造影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EACCQ001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颈椎神经根X线造影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EACEE001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泪道X线造影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EACGH001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下咽X线造影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EACHJ001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颞下颌关节X线造影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EACHL001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唾液腺X线造影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EACNM001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四肢直接淋巴管X线造影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EACNM002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四肢间接淋巴管X线造影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胃肠排空试验-钡餐透视法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EACPA002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全消化道造影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上消化道X线造影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食管异物X线造影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小肠X线造影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EACPJ002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小肠插管X线造影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EACPS001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结肠X线造影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EACQE002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经T管胆道X线造影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EACRA001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泌尿系逆行X线造影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EACRC001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静脉肾盂X线造影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EACRG001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膀胱逆行X线造影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EACRJ001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排泄性尿道X线造影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EACRJ002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尿道逆行X线造影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EACSE001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经皮穿刺输精管X线造影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EACSE002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阴囊切开输精管X线造影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EACTK001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经阴道子宫输卵管造影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EACVJ001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颈椎间盘X线造影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EACVU001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腰椎间盘X线造影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EACX7001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四肢X线造影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EACYA001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乳腺导管X线造影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EACYR001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窦道瘘管X线造影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鞍区X线计算机体层(CT)平扫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EBABP001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EBAEA001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眼部X线计算机体层(CT)平扫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EBAFA001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EBAGF001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EBAHF001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上颌部X线计算机体层(CT)平扫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EBAHG001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下颌部X线计算机体层(CT)平扫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EBAHS001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齿科X线计算机体层(CT)平扫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EBAHY001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上腹部X线计算机体层(CT)平扫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EBAQT002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下腹部X线计算机体层(CT)平扫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EBAQU001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盆腔X线计算机体层(CT)平扫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EBAVE001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全脊柱X线计算机体层(CT)平扫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EBAVH001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EBAVN001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胸椎X线计算机体层(CT)平扫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EBAVT001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EBAVY001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骶尾部X线计算机体层(CT)平扫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EBAWA001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肢带骨骨骼计算机体层(CT)平扫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EBAWA002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上臂X线计算机体层(CT)平扫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EBAWA003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前臂X线计算机体层(CT)平扫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EBAWR001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骨盆部X线计算机体层(CT)平扫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髋部X线计算机体层(CT)平扫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骶髂关节X线计算机体层(CT)平扫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大腿X线计算机体层(CT)平扫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小腿X线计算机体层(CT)平扫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EBAXU001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足踝部X线计算机体层(CT)平扫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鞍区X线计算机体层(CT)增强扫描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EBBBP001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EBBEA001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眼部X线计算机体层(CT)增强扫描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EBBFA001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耳部X线计算机体层(CT)增强扫描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EBBGF001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EBBHF001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上颌部X线计算机体层(CT)增强扫描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EBBHG001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下颌部X线计算机体层(CT)增强扫描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EBBHS001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齿科X线计算机体层(CT)增强扫描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EBBHY001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上腹部X线计算机体层(CT)增强扫描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EBBQT002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下腹部X线计算机体层(CT)增强扫描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EBBQU001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盆腔X线计算机体层(CT)增强扫描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EBBVE001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全脊柱X线计算机体层(CT)增强扫描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EBBVH001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EBBVN001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胸椎X线计算机体层(CT)增强扫描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EBBVT001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EBBVY001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骶尾部X线计算机体层(CT)增强扫描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EBBWA001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肢带骨骨骼计算机体层(CT)增强扫描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EBBWF001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上臂X线计算机体层(CT)增强扫描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EBBWL001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前臂X线计算机体层(CT)增强扫描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EBBWR001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骨盆部X线计算机体层(CT)增强扫描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髋部X线计算机体层(CT)平扫增强扫描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骶髂关节X线计算机体层(CT)增强扫描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大腿X线计算机体层(CT)增强扫描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小腿X线计算机体层(CT)增强扫描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EBBXU001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足踝部X线计算机体层(CT)增强扫描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EBCBJ001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颅内动脉CT三维成像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EBCJC001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气管树CT三维成像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EBCJE001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肺小结节CT三维成像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心脏CT成像+心功能分析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冠状动脉钙化积分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EBCKU002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冠状动脉CT三维成像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EBCL3001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上肢动脉CT三维成像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EBCL5001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下肢动脉CT三维成像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上腹部动脉CT三维成像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EBCLY002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下腹部动脉CT三维成像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EBCLY003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盆腔动脉CT三维成像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EBCMA001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肺静脉CT三维成像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EBCML001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下腔静脉下肢深静脉CT三维成像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EBCMN001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门脉系统CT三维成像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EBCPS001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结肠CT三维成像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EBCZX001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单脏器灌注成像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颅脑磁共振成像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海绵窦磁共振成像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脑功能磁共振成像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海马磁共振成像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头颅非增强磁共振动脉血管成像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ECABM001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头颅非增强磁共振静脉血管成像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鞍区磁共振成像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ECABN002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颅底磁共振成像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ECABS001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脊髓磁共振水成像(MRM)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ECAEB001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眶磁共振成像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ECAFK001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内听道磁共振成像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ECAGF001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鼻窦磁共振成像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ECAGJ001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鼻咽磁共振成像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ECAHJ001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颞下颌关节磁共振成像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ECAHY001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颈部磁共振成像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ECAKA001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心脏磁共振平扫成像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ECAKA002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磁共振心脏功能评价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ECAM9001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血管斑块成像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ECAPU001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直肠磁共振成像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ECAQP001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胰胆管系统磁共振水成像(MRCP)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上腹部磁共振成像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ECAQT002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下腹部磁共振成像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ECAQU001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盆腔磁共振成像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ECARA001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泌尿系统磁共振水成像(MRU)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ECASK001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前列腺磁共振成像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ECAVH001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ECAVN001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胸椎磁共振成像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ECAVT001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ECAWF001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ECAWG001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肩关节磁共振成像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ECAWJ001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肘关节磁共振成像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ECAWL001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前臂磁共振成像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ECAWR001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骶髂关节磁共振成像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髋关节磁共振成像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大腿磁共振成像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膝关节磁共振成像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小腿磁共振成像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足磁共振成像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ECAXZ001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踝关节磁共振成像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ECAYA001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乳腺磁共振成像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海绵窦磁共振增强成像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鞍区磁共振增强成像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ECBBN002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颅底磁共振增强成像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ECBBP001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头部磁共振增强成像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ECBEB001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眶磁共振增强成像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ECBFK001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内听道磁共振增强成像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ECBGF001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鼻窦磁共振增强成像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ECBGJ001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鼻咽磁共振增强成像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ECBHY001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颈部磁共振增强成像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ECBJT001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胸部磁共振增强成像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ECBKA001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心脏磁共振增强成像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ECBKU001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冠脉磁共振成像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ECBL5001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下肢动脉磁共振血管增强成像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ECBLA001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ECBLF001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ECBLJ001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胸主动脉磁共振血管增强成像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ECBLK001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腹主动脉磁共振血管增强成像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ECBM9001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血管斑块增强成像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ECBML001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下腔静脉磁共振血管增强成像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ECBQT001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上腹部磁共振增强成像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ECBQT002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下腹部磁共振增强成像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ECBQU001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盆腔磁共振增强成像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ECBVH001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颈椎磁共振增强成像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ECBVN001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胸椎磁共振增强成像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ECBVT001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腰椎磁共振增强成像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ECBWF001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上臂磁共振增强成像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ECBWG001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肩关节磁共振增强成像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ECBWL001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前臂磁共振增强成像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ECBWR001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ECBXC001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骶髂关节磁共振增强成像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ECBXF001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大腿磁共振增强成像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ECBXN001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小腿磁共振增强成像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ECBXU001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足磁共振增强成像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ECBXZ001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踝关节磁共振增强成像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磁共振器官体积测量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单脏器灌注磁共振成像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磁共振单脏器弥散加权成像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磁共振单脏器磁敏感加权成像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单脏器单体素磁共振波谱分析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单脏器多体素磁共振波谱分析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单脏器磁共振动态增强成像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ECCZX008</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单脏器薄层扫描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磁共振非脏器弥散加权成像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磁共振三维导航定位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ECCZZ002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磁共振增强三维导航定位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ECCZZ003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磁共振弥散张量成像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(五)核医学诊断</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9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章节说明：</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1.EEA-EEC章节多探头ECT加收30%，符合线路代谢显像加收60%。</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2.EED章节以一个床位为基价，每增加一个床位加收50%（床位指:SPECT/CT探测器的一个纵向扫描长度）。</w:t>
            </w:r>
            <w:r>
              <w:rPr>
                <w:rFonts w:hint="eastAsia" w:ascii="宋体" w:hAnsi="宋体" w:eastAsia="宋体" w:cs="宋体"/>
                <w:b/>
                <w:i w:val="0"/>
                <w:color w:val="auto"/>
                <w:kern w:val="0"/>
                <w:sz w:val="21"/>
                <w:szCs w:val="21"/>
                <w:u w:val="none"/>
                <w:lang w:val="en-US" w:eastAsia="zh-CN" w:bidi="ar"/>
              </w:rPr>
              <w:br w:type="textWrapping"/>
            </w:r>
            <w:r>
              <w:rPr>
                <w:rFonts w:hint="eastAsia" w:ascii="宋体" w:hAnsi="宋体" w:eastAsia="宋体" w:cs="宋体"/>
                <w:b/>
                <w:i w:val="0"/>
                <w:color w:val="auto"/>
                <w:kern w:val="0"/>
                <w:sz w:val="21"/>
                <w:szCs w:val="21"/>
                <w:u w:val="none"/>
                <w:lang w:val="en-US" w:eastAsia="zh-CN" w:bidi="ar"/>
              </w:rPr>
              <w:t>3.胶片另收。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EEA</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1.静态显像与功能测定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EEABG001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脑室显像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甲状腺有效半衰期测定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甲状腺激素抑制试验显像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EEADC004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促甲状腺激素兴奋试验显像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甲状旁腺显像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肾上腺皮质静态显像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EEADF002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地塞米松抑制试验肾上腺皮质显像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EEAEE001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泪管显像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EEAHL001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唾液腺静态显像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EEAJE001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EEAJE002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锝气法肺通气显像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EEAJE003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气溶胶法肺通气显像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EEAKC001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静息心肌灌注显像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EEAKC002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急性心肌梗死灶静态显像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EEAKC003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运动试验法负荷心肌灌注显像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EEAKC004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EEAM1001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下肢深静脉显像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EEANB001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脾显像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EEAND001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红细胞破坏部位测定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EEANZ001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淋巴显像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EEAQA001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EEAQN001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胰腺显像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EEARB001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EEAX6001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局部骨静态显像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EEAX6003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骨三相显像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EEAX6004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全身骨显像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炎症局部显像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EEAZX002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亲肿瘤局部显像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EEAZX003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放射免疫局部显像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EEAZX004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放射受体局部显像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EEAZX005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生长抑素受体显像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炎症全身显像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亲肿瘤全身显像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放射免疫全身显像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放射受体全身显像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EEAZY005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EEB</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EEBBH001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脑血管显像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EEBDC001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甲状腺血流显像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EEBHL001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唾液腺动态显像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EEBKA001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门控心血池显像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EEBKA002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药物负荷门控心血池显像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EEBKA003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心血管显像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EEBKH001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运动负荷门控心室显像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EEBL9001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动脉显像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EEBMN001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门脉血流测定显像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EEBMN002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门静脉分流显像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消化道出血显像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胃食管返流显像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十二指肠胃返流显像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食管通过显像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胃排空试验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EEBPD002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异位胃黏膜显像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肠道通过时间测定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EEBPH002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肠道蛋白丢失显像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EEBQA001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肝胆动态显像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EEBQD001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肝血流血池显像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EEBQD002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肝血流显像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EEBQD003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肝血池显像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肾动态显像肾小球滤过率(GFR)测定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EEBRB003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肾动态显像肾有效血浆流量(ERPF)测定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EEBRB004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介入肾动态显像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EEBRG001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膀胱输尿管返流直接显像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EEBRG002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膀胱输尿管返流间接显像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EEBSM001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阴囊显像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EEC</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人为干预法负荷介入脑灌注断层显像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生理刺激法负荷介入脑灌注断层显像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物理干预法负荷介入脑灌注断层显像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EECBH005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EECDC001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EECDD001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甲状旁腺断层显像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肾上腺髓质断层显像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EECJE001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EECKC001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静息心肌灌注断层显像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EECKC002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运动法负荷心肌灌注断层显像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EECKC003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药物法负荷心肌灌注断层显像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EECNB001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脾断层显像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EECQA001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EECX6001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炎症断层显像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EECZX002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亲肿瘤断层显像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EECZX003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放射免疫断层显像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EECZX004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放射受体断层显像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EECZX005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氟[</w:t>
            </w:r>
            <w:r>
              <w:rPr>
                <w:rFonts w:hint="eastAsia" w:ascii="宋体" w:hAnsi="宋体" w:eastAsia="宋体" w:cs="宋体"/>
                <w:i w:val="0"/>
                <w:color w:val="auto"/>
                <w:kern w:val="0"/>
                <w:sz w:val="21"/>
                <w:szCs w:val="21"/>
                <w:u w:val="none"/>
                <w:vertAlign w:val="superscript"/>
                <w:lang w:val="en-US" w:eastAsia="zh-CN" w:bidi="ar"/>
              </w:rPr>
              <w:t>18</w:t>
            </w:r>
            <w:r>
              <w:rPr>
                <w:rFonts w:hint="eastAsia" w:ascii="宋体" w:hAnsi="宋体" w:eastAsia="宋体" w:cs="宋体"/>
                <w:i w:val="0"/>
                <w:color w:val="auto"/>
                <w:kern w:val="0"/>
                <w:sz w:val="21"/>
                <w:szCs w:val="21"/>
                <w:u w:val="none"/>
                <w:lang w:val="en-US" w:eastAsia="zh-CN" w:bidi="ar"/>
              </w:rPr>
              <w:t>F]-脱氧葡萄糖断层显像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EED</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4.断层融合显像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EEDBH001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SPECT/CT脑断层显像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EEDBH002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人为干预法SPECT/CT负荷介入脑灌注断层显像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EEDBH003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生理刺激法SPECT/CT负荷介入脑灌注断层显像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EEDBH004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物理干预法SPECT/CT负荷介入脑灌注断层显像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EEDBH005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药物法SPECT/CT负荷介入脑灌注断层显像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EEDDC001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SPECT/CT甲状腺断层显像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EEDDD001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SPECT/CT甲状旁腺断层显像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EEDDF001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SPECT/CT肾上腺髓质断层显像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EEDJE001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SPECT/CT肺断层显像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EEDKC001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SPECT/CT静息心肌灌注断层显像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EEDKC002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运动法SPECT/CT负荷心肌灌注断层显像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EEDKC003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药物法SPECT/CT负荷心肌灌注断层显像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EEDQA001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SPECT/CT肝断层显像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EEDX6001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SPECT/CT炎症断层显像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EEDZX002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SPECT/CT亲肿瘤断层显像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EEDZX003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SPECT/CT放射免疫断层显像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EEDZX004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SPECT/CT放射受体断层显像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EEDZX005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SPECT/CT生长抑素受体显像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EEE</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5.正电子发射断层显像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EEEBC001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PET脑代谢断层显像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EEEBH001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PET脑血流断层显像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EEEKC001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PET静息心肌灌注断层显像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EEEKC002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PET心肌代谢断层显像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EEEKC003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运动法PET负荷心肌灌注显像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EEEKC004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药物法PET负荷心肌灌注显像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PET局部断层显像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EEEZY001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PET全身断层显像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PET/CT脑代谢显像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EEFBH001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PET/CT脑血流显像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EEFKC001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PET/CT静息心肌灌注显像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EEFKC002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运动法PET/CT负荷心肌灌注显像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EEFKC003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药物法PET/CT负荷心肌灌注显像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EEFZX001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PET/CT局部显像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EEFZY001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PET/CT全身显像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EEFZZ001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PET/MR局部显像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EEG</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7.核素功能试验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EEGDC001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甲状腺摄碘试验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EEGDC002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甲状腺激素抑制试验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EEGDC003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过氯酸钾释放试验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EEGND001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红细胞容量测定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EEGND002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血浆容量测定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EEGND003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红细胞寿命测定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肾图检查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介入肾图检查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肾图+肾小球滤过率测定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EEGRB004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肾图+肾有效血浆流量测定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TCADG101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抗Xa活性测定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TCESV101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壳多糖酶3样蛋白1检测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TCEZN101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可溶性生长刺激表达基因2蛋白（ST2）定量检测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TKBH9991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缺血适应治疗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w0220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核医学科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w022001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γ照像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γ照像脑显像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γ脑池显像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γ照像肝显像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γ照像肝胆显像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γ照像腮腺显像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γ照像肝血池显像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w0220010008</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γ照像肝血池动态显像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w0220010009</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γ照像门脉血流测定显像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γ照像胰显像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γ照像MICKEL 憩室显像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γ照像消化道出血显像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γ照像胃-食道返流显像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γ照像肾显像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γ照像肾结石24小时显像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γ照像膝关节显像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γ照像骨局部显像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w0220010018</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γ照像股骨头显像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w0220010019</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γ照像全身骨显像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γ照像甲状腺显像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γ照像甲状腺动态显像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γ照像肾上腺显像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γ照像脾显像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γ照像淋巴显像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γ照像骨髓显像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γ照像下腔静脉显像（造影）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γ照像心血管血池动态显像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w0220010028</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γ照像心血管血池+门电路显像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w0220010029</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γ照像心肌热区显像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γ照像心肌灌注显像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γ照像下肢静脉显像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γ照像阳性显像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γ照像耳咽管显像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γ照像输卵管显像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γ照像炎症全身显像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γ照像炎症局部显像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w0220010037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γ照像放射免疫显像RII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w0220030001</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肝扫描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w0220030002</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甲状腺扫描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w0220030003</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w0220030004</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肾动态扫描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w0220030005</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心血池,肝血池扫描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w0220030006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其他扫描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w0220040006</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测甲状腺半减期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w0220040007</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下肢静脉血流图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w0220040010</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衰减校正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 xml:space="preserve">2001.2-3期 </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多功能数字X线影像系统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2001.2-3期</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气灌肠整复肠套叠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2004.15期</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经内镜逆行胰胆管造影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2007年243号</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磁共振扫描下心电监护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数字化摄影(DR)加收-424[中国医学科学院整形外科医院]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CR摄影-259[中国医学科学院整形外科医院]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CR摄影-260[中国医学科学院整形外科医院]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CR摄影-261[中国医学科学院整形外科医院]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CR摄影增照每张加收-270[中国医学科学院整形外科医院]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CR摄影-262[中国医学科学院整形外科医院]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CR摄影增照每张加收-267[中国医学科学院整形外科医院]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CR摄影增照每张加收-269[中国医学科学院整形外科医院]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数字化摄影(DR)-286[中国医学科学院整形外科医院]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数字化摄影(DR)加收-424[中国医学科学院整形外科医院]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手工X线测量-2832[中国医学科学院整形外科医院]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咬合片-2668[中国医学科学院整形外科医院]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牙片-298[中国医学科学院整形外科医院]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咬合片-299[中国医学科学院整形外科医院]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头颅正位（8×10）[北京大学口腔医院]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头颅侧位（8×10）[北京大学口腔医院]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曲面断层[北京大学口腔医院]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合翼片[北京大学口腔医院]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拍片费-273[中国医学科学院整形外科医院]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拍片费（床旁）-374[中国医学科学院整形外科医院]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五官造影-296[中国医学科学院整形外科医院]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下咽(腭咽)造影-297[中国医学科学院整形外科医院]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泌尿造影-282[中国医学科学院整形外科医院]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膀胱造影-271[中国医学科学院整形外科医院]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尿道(阴道)造影-284[中国医学科学院整形外科医院]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全数字胃肠机(全消造影检查)[中国医学科学院北京协和医院]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单独审批</w:t>
            </w:r>
          </w:p>
        </w:tc>
        <w:tc>
          <w:tcPr>
            <w:tcW w:w="6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内窥镜下全数字逆行胰胆管造影[中国医学科学院北京协和医院]</w:t>
            </w:r>
          </w:p>
        </w:tc>
      </w:tr>
    </w:tbl>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jc w:val="both"/>
        <w:rPr>
          <w:rFonts w:hint="eastAsia" w:ascii="方正小标宋简体" w:hAnsi="方正小标宋简体" w:eastAsia="方正小标宋简体" w:cs="方正小标宋简体"/>
          <w:b w:val="0"/>
          <w:bCs w:val="0"/>
          <w:color w:val="auto"/>
          <w:sz w:val="44"/>
          <w:szCs w:val="44"/>
          <w:lang w:val="en-US" w:eastAsia="zh-CN"/>
        </w:rPr>
      </w:pPr>
    </w:p>
    <w:p>
      <w:pPr>
        <w:pStyle w:val="2"/>
        <w:rPr>
          <w:rFonts w:hint="eastAsia" w:ascii="仿宋_GB2312" w:hAnsi="仿宋_GB2312" w:eastAsia="仿宋_GB2312" w:cs="仿宋_GB2312"/>
          <w:color w:val="auto"/>
          <w:sz w:val="32"/>
          <w:szCs w:val="32"/>
          <w:lang w:val="en-US" w:eastAsia="zh-CN"/>
        </w:rPr>
      </w:pPr>
    </w:p>
    <w:p>
      <w:pPr>
        <w:adjustRightInd w:val="0"/>
        <w:snapToGrid w:val="0"/>
        <w:spacing w:line="40" w:lineRule="exact"/>
        <w:rPr>
          <w:rFonts w:hint="eastAsia" w:ascii="方正小标宋简体" w:hAnsi="黑体" w:eastAsia="方正小标宋简体" w:cs="仿宋_GB2312"/>
          <w:sz w:val="44"/>
          <w:szCs w:val="44"/>
        </w:rPr>
      </w:pPr>
      <w:bookmarkStart w:id="0" w:name="_GoBack"/>
      <w:bookmarkEnd w:id="0"/>
    </w:p>
    <w:sectPr>
      <w:pgSz w:w="11906" w:h="16838"/>
      <w:pgMar w:top="2098" w:right="1531" w:bottom="1985" w:left="1531" w:header="851" w:footer="992" w:gutter="0"/>
      <w:pgNumType w:fmt="numberInDash"/>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AR PL UKai C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sz w:val="28"/>
      </w:rPr>
    </w:pP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eastAsia="zh-CN"/>
      </w:rPr>
      <w:t>-</w:t>
    </w:r>
    <w:r>
      <w:rPr>
        <w:rFonts w:ascii="宋体" w:hAnsi="宋体"/>
        <w:sz w:val="28"/>
        <w:lang/>
      </w:rPr>
      <w:t xml:space="preserve"> 1 -</w:t>
    </w:r>
    <w:r>
      <w:rPr>
        <w:rFonts w:hint="eastAsia" w:ascii="宋体" w:hAnsi="宋体"/>
        <w:sz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hint="eastAsia" w:ascii="宋体" w:hAnsi="宋体"/>
        <w:sz w:val="28"/>
      </w:rPr>
    </w:pPr>
    <w:r>
      <w:rPr>
        <w:rFonts w:hint="eastAsia" w:ascii="宋体" w:hAnsi="宋体"/>
        <w:sz w:val="28"/>
      </w:rPr>
      <w:fldChar w:fldCharType="begin"/>
    </w:r>
    <w:r>
      <w:rPr>
        <w:rStyle w:val="20"/>
        <w:rFonts w:hint="eastAsia" w:ascii="宋体" w:hAnsi="宋体"/>
        <w:sz w:val="28"/>
      </w:rPr>
      <w:instrText xml:space="preserve">PAGE  </w:instrText>
    </w:r>
    <w:r>
      <w:rPr>
        <w:rFonts w:hint="eastAsia" w:ascii="宋体" w:hAnsi="宋体"/>
        <w:sz w:val="28"/>
      </w:rPr>
      <w:fldChar w:fldCharType="separate"/>
    </w:r>
    <w:r>
      <w:rPr>
        <w:rStyle w:val="20"/>
        <w:rFonts w:ascii="宋体" w:hAnsi="宋体"/>
        <w:sz w:val="28"/>
        <w:lang/>
      </w:rPr>
      <w:t>- 2 -</w:t>
    </w:r>
    <w:r>
      <w:rPr>
        <w:rFonts w:hint="eastAsia" w:ascii="宋体" w:hAnsi="宋体"/>
        <w:sz w:val="28"/>
      </w:rPr>
      <w:fldChar w:fldCharType="end"/>
    </w:r>
  </w:p>
  <w:p>
    <w:pPr>
      <w:pStyle w:val="11"/>
      <w:ind w:right="360" w:firstLine="360"/>
      <w:rPr>
        <w:rFonts w:ascii="宋体" w:hAnsi="宋体"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31"/>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28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A3"/>
    <w:rsid w:val="00035234"/>
    <w:rsid w:val="00057D5B"/>
    <w:rsid w:val="000A44A3"/>
    <w:rsid w:val="000B7226"/>
    <w:rsid w:val="000C0402"/>
    <w:rsid w:val="000C24F4"/>
    <w:rsid w:val="000F1702"/>
    <w:rsid w:val="00125F94"/>
    <w:rsid w:val="00146DD5"/>
    <w:rsid w:val="001815CC"/>
    <w:rsid w:val="00183306"/>
    <w:rsid w:val="00191558"/>
    <w:rsid w:val="001A6136"/>
    <w:rsid w:val="001C1A74"/>
    <w:rsid w:val="001C70DF"/>
    <w:rsid w:val="001E2F4E"/>
    <w:rsid w:val="00214BBD"/>
    <w:rsid w:val="00242589"/>
    <w:rsid w:val="0026531F"/>
    <w:rsid w:val="002A6D45"/>
    <w:rsid w:val="002E5ADB"/>
    <w:rsid w:val="002F311C"/>
    <w:rsid w:val="00311805"/>
    <w:rsid w:val="003A7C86"/>
    <w:rsid w:val="003E1E9F"/>
    <w:rsid w:val="003F45A8"/>
    <w:rsid w:val="00411E31"/>
    <w:rsid w:val="00415914"/>
    <w:rsid w:val="004257CE"/>
    <w:rsid w:val="00442603"/>
    <w:rsid w:val="00457905"/>
    <w:rsid w:val="004C617C"/>
    <w:rsid w:val="004C72C6"/>
    <w:rsid w:val="004D2864"/>
    <w:rsid w:val="00516D44"/>
    <w:rsid w:val="00532797"/>
    <w:rsid w:val="0054621A"/>
    <w:rsid w:val="0058591F"/>
    <w:rsid w:val="00586792"/>
    <w:rsid w:val="005A1DE4"/>
    <w:rsid w:val="005C2D28"/>
    <w:rsid w:val="005F0C4E"/>
    <w:rsid w:val="006062D0"/>
    <w:rsid w:val="00611256"/>
    <w:rsid w:val="00663D4C"/>
    <w:rsid w:val="006A2BCF"/>
    <w:rsid w:val="006E1ABA"/>
    <w:rsid w:val="006F2826"/>
    <w:rsid w:val="00700B11"/>
    <w:rsid w:val="0070105F"/>
    <w:rsid w:val="00714665"/>
    <w:rsid w:val="007765E6"/>
    <w:rsid w:val="0078280B"/>
    <w:rsid w:val="0078669A"/>
    <w:rsid w:val="007A01A4"/>
    <w:rsid w:val="007B1021"/>
    <w:rsid w:val="007D3291"/>
    <w:rsid w:val="007D3869"/>
    <w:rsid w:val="00807E99"/>
    <w:rsid w:val="00822E19"/>
    <w:rsid w:val="008277F4"/>
    <w:rsid w:val="00871069"/>
    <w:rsid w:val="008863AC"/>
    <w:rsid w:val="00892232"/>
    <w:rsid w:val="008E2D9E"/>
    <w:rsid w:val="008E373D"/>
    <w:rsid w:val="00900833"/>
    <w:rsid w:val="009059C8"/>
    <w:rsid w:val="009105F8"/>
    <w:rsid w:val="0093704E"/>
    <w:rsid w:val="00944696"/>
    <w:rsid w:val="00973DD2"/>
    <w:rsid w:val="009A097A"/>
    <w:rsid w:val="009C4932"/>
    <w:rsid w:val="009D03DB"/>
    <w:rsid w:val="009D3FDE"/>
    <w:rsid w:val="009D577F"/>
    <w:rsid w:val="009F240E"/>
    <w:rsid w:val="00A03C3C"/>
    <w:rsid w:val="00A048B0"/>
    <w:rsid w:val="00A26B22"/>
    <w:rsid w:val="00A41E89"/>
    <w:rsid w:val="00A42583"/>
    <w:rsid w:val="00A42A11"/>
    <w:rsid w:val="00A548C0"/>
    <w:rsid w:val="00A73566"/>
    <w:rsid w:val="00A95A75"/>
    <w:rsid w:val="00AB3866"/>
    <w:rsid w:val="00AB6136"/>
    <w:rsid w:val="00AC1A65"/>
    <w:rsid w:val="00AC44B3"/>
    <w:rsid w:val="00B21C7E"/>
    <w:rsid w:val="00B33BB6"/>
    <w:rsid w:val="00B353E6"/>
    <w:rsid w:val="00B43F38"/>
    <w:rsid w:val="00B82E9D"/>
    <w:rsid w:val="00C15BAE"/>
    <w:rsid w:val="00C743FE"/>
    <w:rsid w:val="00C763F0"/>
    <w:rsid w:val="00C7714B"/>
    <w:rsid w:val="00C909F4"/>
    <w:rsid w:val="00C92C9F"/>
    <w:rsid w:val="00C92E38"/>
    <w:rsid w:val="00CA783E"/>
    <w:rsid w:val="00CB218B"/>
    <w:rsid w:val="00CE45E5"/>
    <w:rsid w:val="00CE7AF6"/>
    <w:rsid w:val="00D1280C"/>
    <w:rsid w:val="00D84555"/>
    <w:rsid w:val="00E4686A"/>
    <w:rsid w:val="00E615D0"/>
    <w:rsid w:val="00E72770"/>
    <w:rsid w:val="00E932CC"/>
    <w:rsid w:val="00EA651A"/>
    <w:rsid w:val="00EA656C"/>
    <w:rsid w:val="00ED3593"/>
    <w:rsid w:val="00F20252"/>
    <w:rsid w:val="00F341E0"/>
    <w:rsid w:val="00F47BEA"/>
    <w:rsid w:val="00F80DFD"/>
    <w:rsid w:val="00F825D4"/>
    <w:rsid w:val="00F84367"/>
    <w:rsid w:val="00F943FA"/>
    <w:rsid w:val="00F9643E"/>
    <w:rsid w:val="00FD12A8"/>
    <w:rsid w:val="0543600B"/>
    <w:rsid w:val="16F66F00"/>
    <w:rsid w:val="1A8C6868"/>
    <w:rsid w:val="1F8B2A5C"/>
    <w:rsid w:val="3FEDE660"/>
    <w:rsid w:val="44751C6C"/>
    <w:rsid w:val="47CF551E"/>
    <w:rsid w:val="49C33FF4"/>
    <w:rsid w:val="4D77E812"/>
    <w:rsid w:val="4E1B347E"/>
    <w:rsid w:val="514C64E8"/>
    <w:rsid w:val="516D2F98"/>
    <w:rsid w:val="55662686"/>
    <w:rsid w:val="55817A8A"/>
    <w:rsid w:val="561F5235"/>
    <w:rsid w:val="57EB435F"/>
    <w:rsid w:val="57FDBC75"/>
    <w:rsid w:val="5CFB936E"/>
    <w:rsid w:val="5D9E5E1E"/>
    <w:rsid w:val="5FE42091"/>
    <w:rsid w:val="5FFBEB42"/>
    <w:rsid w:val="5FFFAC02"/>
    <w:rsid w:val="6894345E"/>
    <w:rsid w:val="697F3315"/>
    <w:rsid w:val="6992191E"/>
    <w:rsid w:val="6E868AE2"/>
    <w:rsid w:val="6EFF5C59"/>
    <w:rsid w:val="77C37FEC"/>
    <w:rsid w:val="77CF5802"/>
    <w:rsid w:val="77D744C3"/>
    <w:rsid w:val="78E45F53"/>
    <w:rsid w:val="79E7DE9D"/>
    <w:rsid w:val="7B77A520"/>
    <w:rsid w:val="7CA71E76"/>
    <w:rsid w:val="7CD91E0C"/>
    <w:rsid w:val="7DDF3D57"/>
    <w:rsid w:val="7DFF00A3"/>
    <w:rsid w:val="7F7F184F"/>
    <w:rsid w:val="7FD902B5"/>
    <w:rsid w:val="7FDF855A"/>
    <w:rsid w:val="7FEF2AFE"/>
    <w:rsid w:val="87FF3D58"/>
    <w:rsid w:val="AD4FB7DF"/>
    <w:rsid w:val="ADFFCD81"/>
    <w:rsid w:val="B5FB5E48"/>
    <w:rsid w:val="BAD7E471"/>
    <w:rsid w:val="BF37758A"/>
    <w:rsid w:val="BF7B48B5"/>
    <w:rsid w:val="BFEB64D3"/>
    <w:rsid w:val="BFEF7FF8"/>
    <w:rsid w:val="C7666668"/>
    <w:rsid w:val="CFDBA323"/>
    <w:rsid w:val="D6FB10AB"/>
    <w:rsid w:val="D7576BC7"/>
    <w:rsid w:val="D7E7CC9A"/>
    <w:rsid w:val="D7F5A0BF"/>
    <w:rsid w:val="DFBD04C9"/>
    <w:rsid w:val="E2F5B911"/>
    <w:rsid w:val="E3E3DA7C"/>
    <w:rsid w:val="EBFF409A"/>
    <w:rsid w:val="F3B3E954"/>
    <w:rsid w:val="F46DD309"/>
    <w:rsid w:val="F4AA7440"/>
    <w:rsid w:val="F4EF4178"/>
    <w:rsid w:val="F545537D"/>
    <w:rsid w:val="F9ED5188"/>
    <w:rsid w:val="FD8F1A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4">
    <w:name w:val="heading 4"/>
    <w:basedOn w:val="1"/>
    <w:next w:val="5"/>
    <w:qFormat/>
    <w:uiPriority w:val="0"/>
    <w:pPr>
      <w:tabs>
        <w:tab w:val="left" w:pos="864"/>
      </w:tabs>
      <w:spacing w:before="120"/>
      <w:ind w:left="864" w:hanging="864"/>
      <w:outlineLvl w:val="3"/>
    </w:pPr>
    <w:rPr>
      <w:rFonts w:ascii="Arial" w:hAnsi="Arial"/>
      <w:b/>
      <w:kern w:val="24"/>
      <w:sz w:val="28"/>
      <w:szCs w:val="20"/>
    </w:rPr>
  </w:style>
  <w:style w:type="character" w:default="1" w:styleId="18">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5">
    <w:name w:val="Normal Indent"/>
    <w:basedOn w:val="1"/>
    <w:uiPriority w:val="0"/>
    <w:pPr>
      <w:ind w:firstLine="420" w:firstLineChars="200"/>
    </w:pPr>
  </w:style>
  <w:style w:type="paragraph" w:styleId="6">
    <w:name w:val="Document Map"/>
    <w:basedOn w:val="1"/>
    <w:semiHidden/>
    <w:uiPriority w:val="0"/>
    <w:pPr>
      <w:shd w:val="clear" w:color="auto" w:fill="000080"/>
    </w:pPr>
  </w:style>
  <w:style w:type="paragraph" w:styleId="7">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 w:type="paragraph" w:styleId="8">
    <w:name w:val="Date"/>
    <w:basedOn w:val="1"/>
    <w:next w:val="1"/>
    <w:uiPriority w:val="0"/>
    <w:pPr>
      <w:ind w:left="100" w:leftChars="2500"/>
    </w:pPr>
    <w:rPr>
      <w:sz w:val="32"/>
    </w:rPr>
  </w:style>
  <w:style w:type="paragraph" w:styleId="9">
    <w:name w:val="Body Text Indent 2"/>
    <w:basedOn w:val="1"/>
    <w:uiPriority w:val="0"/>
    <w:pPr>
      <w:tabs>
        <w:tab w:val="left" w:pos="2250"/>
      </w:tabs>
      <w:spacing w:before="100" w:beforeAutospacing="1" w:line="400" w:lineRule="exact"/>
      <w:ind w:firstLine="629"/>
    </w:pPr>
    <w:rPr>
      <w:sz w:val="32"/>
    </w:rPr>
  </w:style>
  <w:style w:type="paragraph" w:styleId="10">
    <w:name w:val="Balloon Text"/>
    <w:basedOn w:val="1"/>
    <w:link w:val="21"/>
    <w:uiPriority w:val="0"/>
    <w:rPr>
      <w:sz w:val="18"/>
      <w:szCs w:val="18"/>
    </w:rPr>
  </w:style>
  <w:style w:type="paragraph" w:styleId="11">
    <w:name w:val="footer"/>
    <w:basedOn w:val="1"/>
    <w:link w:val="22"/>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qFormat/>
    <w:uiPriority w:val="10"/>
    <w:pPr>
      <w:spacing w:line="800" w:lineRule="exact"/>
      <w:jc w:val="center"/>
      <w:outlineLvl w:val="0"/>
    </w:pPr>
    <w:rPr>
      <w:rFonts w:ascii="方正小标宋简体" w:hAnsi="方正小标宋简体" w:eastAsia="方正小标宋简体" w:cs="方正小标宋简体"/>
      <w:sz w:val="44"/>
      <w:szCs w:val="44"/>
    </w:rPr>
  </w:style>
  <w:style w:type="paragraph" w:styleId="15">
    <w:name w:val="Body Text First Indent"/>
    <w:basedOn w:val="7"/>
    <w:qFormat/>
    <w:uiPriority w:val="0"/>
    <w:pPr>
      <w:ind w:firstLine="420" w:firstLineChars="100"/>
    </w:pPr>
  </w:style>
  <w:style w:type="table" w:styleId="17">
    <w:name w:val="Table Grid"/>
    <w:basedOn w:val="16"/>
    <w:uiPriority w:val="0"/>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uiPriority w:val="0"/>
  </w:style>
  <w:style w:type="character" w:customStyle="1" w:styleId="21">
    <w:name w:val="批注框文本 字符"/>
    <w:link w:val="10"/>
    <w:uiPriority w:val="0"/>
    <w:rPr>
      <w:kern w:val="2"/>
      <w:sz w:val="18"/>
      <w:szCs w:val="18"/>
    </w:rPr>
  </w:style>
  <w:style w:type="character" w:customStyle="1" w:styleId="22">
    <w:name w:val="页脚 字符"/>
    <w:link w:val="11"/>
    <w:uiPriority w:val="99"/>
    <w:rPr>
      <w:kern w:val="2"/>
      <w:sz w:val="18"/>
      <w:szCs w:val="18"/>
    </w:rPr>
  </w:style>
  <w:style w:type="character" w:customStyle="1" w:styleId="23">
    <w:name w:val="页脚 Char"/>
    <w:uiPriority w:val="99"/>
  </w:style>
  <w:style w:type="character" w:customStyle="1" w:styleId="24">
    <w:name w:val="font_black"/>
    <w:uiPriority w:val="0"/>
    <w:rPr>
      <w:szCs w:val="20"/>
    </w:rPr>
  </w:style>
  <w:style w:type="paragraph" w:customStyle="1" w:styleId="25">
    <w:name w:val="公文正文"/>
    <w:basedOn w:val="1"/>
    <w:qFormat/>
    <w:uiPriority w:val="0"/>
    <w:pPr>
      <w:spacing w:line="560" w:lineRule="exact"/>
      <w:ind w:firstLine="200" w:firstLineChars="200"/>
      <w:jc w:val="left"/>
    </w:pPr>
    <w:rPr>
      <w:rFonts w:ascii="仿宋_GB2312" w:hAnsi="仿宋_GB2312" w:eastAsia="仿宋_GB2312" w:cs="仿宋_GB2312"/>
      <w:kern w:val="28"/>
      <w:sz w:val="32"/>
      <w:szCs w:val="32"/>
    </w:rPr>
  </w:style>
  <w:style w:type="paragraph" w:styleId="26">
    <w:name w:val="No Spacing"/>
    <w:qFormat/>
    <w:uiPriority w:val="1"/>
    <w:pPr>
      <w:widowControl w:val="0"/>
      <w:jc w:val="both"/>
    </w:pPr>
    <w:rPr>
      <w:rFonts w:ascii="Calibri" w:hAnsi="Calibri"/>
      <w:kern w:val="2"/>
      <w:sz w:val="21"/>
      <w:szCs w:val="22"/>
      <w:lang w:val="en-US" w:eastAsia="zh-CN" w:bidi="ar-SA"/>
    </w:rPr>
  </w:style>
  <w:style w:type="paragraph" w:customStyle="1" w:styleId="27">
    <w:name w:val="Other|1"/>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2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 Char"/>
    <w:basedOn w:val="1"/>
    <w:uiPriority w:val="0"/>
    <w:rPr>
      <w:rFonts w:ascii="宋体" w:hAnsi="宋体" w:cs="Courier New"/>
      <w:sz w:val="32"/>
      <w:szCs w:val="32"/>
    </w:rPr>
  </w:style>
  <w:style w:type="paragraph" w:customStyle="1" w:styleId="31">
    <w:name w:val="样式4"/>
    <w:basedOn w:val="1"/>
    <w:uiPriority w:val="0"/>
    <w:pPr>
      <w:numPr>
        <w:ilvl w:val="0"/>
        <w:numId w:val="2"/>
      </w:numPr>
      <w:spacing w:before="156" w:beforeLines="50" w:after="156" w:afterLines="50" w:line="360" w:lineRule="auto"/>
    </w:pPr>
    <w:rPr>
      <w:sz w:val="24"/>
    </w:rPr>
  </w:style>
  <w:style w:type="paragraph" w:customStyle="1" w:styleId="32">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33">
    <w:name w:val="font01"/>
    <w:basedOn w:val="18"/>
    <w:uiPriority w:val="0"/>
    <w:rPr>
      <w:rFonts w:hint="eastAsia" w:ascii="仿宋_GB2312" w:eastAsia="仿宋_GB2312" w:cs="仿宋_GB2312"/>
      <w:color w:val="000000"/>
      <w:sz w:val="22"/>
      <w:szCs w:val="22"/>
      <w:u w:val="none"/>
    </w:rPr>
  </w:style>
  <w:style w:type="character" w:customStyle="1" w:styleId="34">
    <w:name w:val="NormalCharacter"/>
    <w:qFormat/>
    <w:uiPriority w:val="0"/>
    <w:rPr>
      <w:kern w:val="2"/>
      <w:sz w:val="21"/>
      <w:szCs w:val="24"/>
      <w:lang w:val="en-US" w:eastAsia="zh-CN" w:bidi="ar-SA"/>
    </w:rPr>
  </w:style>
  <w:style w:type="character" w:customStyle="1" w:styleId="35">
    <w:name w:val="font21"/>
    <w:basedOn w:val="18"/>
    <w:uiPriority w:val="0"/>
    <w:rPr>
      <w:rFonts w:hint="eastAsia" w:ascii="宋体" w:hAnsi="宋体" w:eastAsia="宋体" w:cs="宋体"/>
      <w:color w:val="000000"/>
      <w:sz w:val="18"/>
      <w:szCs w:val="18"/>
      <w:u w:val="none"/>
    </w:rPr>
  </w:style>
  <w:style w:type="character" w:customStyle="1" w:styleId="36">
    <w:name w:val="font31"/>
    <w:basedOn w:val="18"/>
    <w:uiPriority w:val="0"/>
    <w:rPr>
      <w:rFonts w:hint="eastAsia" w:ascii="宋体" w:hAnsi="宋体" w:eastAsia="宋体" w:cs="宋体"/>
      <w:b/>
      <w:color w:val="000000"/>
      <w:sz w:val="18"/>
      <w:szCs w:val="18"/>
      <w:u w:val="none"/>
    </w:rPr>
  </w:style>
  <w:style w:type="character" w:customStyle="1" w:styleId="37">
    <w:name w:val="font81"/>
    <w:basedOn w:val="18"/>
    <w:uiPriority w:val="0"/>
    <w:rPr>
      <w:rFonts w:hint="eastAsia" w:ascii="宋体" w:hAnsi="宋体" w:eastAsia="宋体" w:cs="宋体"/>
      <w:color w:val="000000"/>
      <w:sz w:val="18"/>
      <w:szCs w:val="18"/>
      <w:u w:val="none"/>
    </w:rPr>
  </w:style>
  <w:style w:type="character" w:customStyle="1" w:styleId="38">
    <w:name w:val="font13"/>
    <w:basedOn w:val="18"/>
    <w:uiPriority w:val="0"/>
    <w:rPr>
      <w:rFonts w:ascii="Cambria" w:hAnsi="Cambria" w:eastAsia="Cambria" w:cs="Cambria"/>
      <w:color w:val="000000"/>
      <w:sz w:val="18"/>
      <w:szCs w:val="18"/>
      <w:u w:val="none"/>
    </w:rPr>
  </w:style>
  <w:style w:type="character" w:customStyle="1" w:styleId="39">
    <w:name w:val="font61"/>
    <w:basedOn w:val="18"/>
    <w:uiPriority w:val="0"/>
    <w:rPr>
      <w:rFonts w:hint="default" w:ascii="Times New Roman" w:hAnsi="Times New Roman" w:cs="Times New Roman"/>
      <w:color w:val="000000"/>
      <w:sz w:val="20"/>
      <w:szCs w:val="20"/>
      <w:u w:val="none"/>
    </w:rPr>
  </w:style>
  <w:style w:type="character" w:customStyle="1" w:styleId="40">
    <w:name w:val="font11"/>
    <w:basedOn w:val="18"/>
    <w:uiPriority w:val="0"/>
    <w:rPr>
      <w:rFonts w:hint="eastAsia" w:ascii="宋体" w:hAnsi="宋体" w:eastAsia="宋体" w:cs="宋体"/>
      <w:color w:val="000000"/>
      <w:sz w:val="16"/>
      <w:szCs w:val="16"/>
      <w:u w:val="none"/>
    </w:rPr>
  </w:style>
  <w:style w:type="character" w:customStyle="1" w:styleId="41">
    <w:name w:val="font71"/>
    <w:basedOn w:val="1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21AT</Company>
  <Pages>4</Pages>
  <Words>986</Words>
  <Characters>1020</Characters>
  <Lines>6</Lines>
  <Paragraphs>1</Paragraphs>
  <TotalTime>2</TotalTime>
  <ScaleCrop>false</ScaleCrop>
  <LinksUpToDate>false</LinksUpToDate>
  <CharactersWithSpaces>1082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2018-12-31T22:34:00Z</dcterms:created>
  <dc:creator>zhanggy</dc:creator>
  <cp:lastModifiedBy>孟楠</cp:lastModifiedBy>
  <cp:lastPrinted>2025-06-21T01:33:45Z</cp:lastPrinted>
  <dcterms:modified xsi:type="dcterms:W3CDTF">2025-06-24T15:05:42Z</dcterms:modified>
  <dc:title>北京市卫生局文件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